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DC1" w:rsidRDefault="00040DC1" w:rsidP="00040DC1">
      <w:pPr>
        <w:autoSpaceDE w:val="0"/>
        <w:autoSpaceDN w:val="0"/>
        <w:adjustRightInd w:val="0"/>
        <w:jc w:val="center"/>
        <w:rPr>
          <w:rFonts w:ascii="Georgia" w:hAnsi="Georgia" w:cs="Georgia"/>
          <w:b/>
          <w:bCs/>
          <w:sz w:val="28"/>
          <w:szCs w:val="28"/>
        </w:rPr>
      </w:pPr>
      <w:r>
        <w:rPr>
          <w:rFonts w:ascii="Georgia" w:hAnsi="Georgia" w:cs="Georgia"/>
          <w:b/>
          <w:bCs/>
          <w:sz w:val="28"/>
          <w:szCs w:val="28"/>
        </w:rPr>
        <w:t xml:space="preserve">Georgia Child Support Commission </w:t>
      </w:r>
    </w:p>
    <w:p w:rsidR="00E4091C" w:rsidRDefault="00040DC1" w:rsidP="00040DC1">
      <w:pPr>
        <w:autoSpaceDE w:val="0"/>
        <w:autoSpaceDN w:val="0"/>
        <w:adjustRightInd w:val="0"/>
        <w:jc w:val="center"/>
        <w:rPr>
          <w:rFonts w:ascii="Georgia" w:hAnsi="Georgia" w:cs="Georgia"/>
          <w:b/>
          <w:bCs/>
          <w:sz w:val="28"/>
          <w:szCs w:val="28"/>
        </w:rPr>
      </w:pPr>
      <w:r>
        <w:rPr>
          <w:rFonts w:ascii="Georgia" w:hAnsi="Georgia" w:cs="Georgia"/>
          <w:b/>
          <w:bCs/>
          <w:sz w:val="28"/>
          <w:szCs w:val="28"/>
        </w:rPr>
        <w:t>MEETING MINUTES</w:t>
      </w:r>
    </w:p>
    <w:p w:rsidR="00040DC1" w:rsidRPr="00040DC1" w:rsidRDefault="00040DC1" w:rsidP="00040DC1">
      <w:pPr>
        <w:autoSpaceDE w:val="0"/>
        <w:autoSpaceDN w:val="0"/>
        <w:adjustRightInd w:val="0"/>
        <w:jc w:val="center"/>
        <w:rPr>
          <w:rFonts w:ascii="Georgia" w:hAnsi="Georgia"/>
          <w:b/>
        </w:rPr>
      </w:pPr>
    </w:p>
    <w:p w:rsidR="00E4091C" w:rsidRPr="00040DC1" w:rsidRDefault="00CD3D4F" w:rsidP="00E4091C">
      <w:pPr>
        <w:jc w:val="center"/>
        <w:rPr>
          <w:rFonts w:ascii="Georgia" w:hAnsi="Georgia"/>
          <w:b/>
          <w:sz w:val="28"/>
          <w:szCs w:val="28"/>
        </w:rPr>
      </w:pPr>
      <w:r w:rsidRPr="00040DC1">
        <w:rPr>
          <w:rFonts w:ascii="Georgia" w:hAnsi="Georgia"/>
          <w:b/>
          <w:sz w:val="28"/>
          <w:szCs w:val="28"/>
        </w:rPr>
        <w:t>October 15, 2010</w:t>
      </w:r>
    </w:p>
    <w:p w:rsidR="00384D5B" w:rsidRPr="00040DC1" w:rsidRDefault="00384D5B" w:rsidP="00384D5B">
      <w:pPr>
        <w:jc w:val="center"/>
        <w:rPr>
          <w:rFonts w:ascii="Georgia" w:hAnsi="Georgia"/>
          <w:b/>
          <w:sz w:val="28"/>
          <w:szCs w:val="28"/>
        </w:rPr>
      </w:pPr>
    </w:p>
    <w:p w:rsidR="00384D5B" w:rsidRDefault="00384D5B" w:rsidP="00384D5B">
      <w:pPr>
        <w:jc w:val="center"/>
        <w:rPr>
          <w:rFonts w:ascii="Georgia" w:hAnsi="Georgia"/>
          <w:b/>
        </w:rPr>
      </w:pPr>
    </w:p>
    <w:p w:rsidR="00040DC1" w:rsidRPr="00CD77DF" w:rsidRDefault="00040DC1" w:rsidP="00040DC1">
      <w:pPr>
        <w:numPr>
          <w:ilvl w:val="0"/>
          <w:numId w:val="12"/>
        </w:numPr>
        <w:tabs>
          <w:tab w:val="left" w:pos="360"/>
        </w:tabs>
        <w:ind w:left="360"/>
        <w:rPr>
          <w:rFonts w:ascii="Georgia" w:hAnsi="Georgia"/>
          <w:i/>
        </w:rPr>
      </w:pPr>
      <w:r w:rsidRPr="007E30AF">
        <w:rPr>
          <w:rFonts w:ascii="Georgia" w:hAnsi="Georgia"/>
          <w:b/>
          <w:u w:val="single"/>
        </w:rPr>
        <w:t>Wel</w:t>
      </w:r>
      <w:r w:rsidRPr="00CD77DF">
        <w:rPr>
          <w:rFonts w:ascii="Georgia" w:hAnsi="Georgia"/>
          <w:b/>
          <w:u w:val="single"/>
        </w:rPr>
        <w:t>come and Introductions</w:t>
      </w:r>
    </w:p>
    <w:p w:rsidR="00040DC1" w:rsidRPr="00CD77DF" w:rsidRDefault="00040DC1" w:rsidP="00040DC1">
      <w:pPr>
        <w:tabs>
          <w:tab w:val="left" w:pos="360"/>
        </w:tabs>
        <w:ind w:left="360" w:hanging="360"/>
        <w:rPr>
          <w:rFonts w:ascii="Georgia" w:hAnsi="Georgia"/>
          <w:i/>
        </w:rPr>
      </w:pPr>
    </w:p>
    <w:p w:rsidR="00040DC1" w:rsidRDefault="00040DC1" w:rsidP="00040DC1">
      <w:pPr>
        <w:autoSpaceDE w:val="0"/>
        <w:autoSpaceDN w:val="0"/>
        <w:adjustRightInd w:val="0"/>
        <w:rPr>
          <w:rFonts w:ascii="Georgia" w:hAnsi="Georgia" w:cs="Georgia"/>
        </w:rPr>
      </w:pPr>
      <w:r w:rsidRPr="00CD77DF">
        <w:rPr>
          <w:rFonts w:ascii="Georgia" w:hAnsi="Georgia"/>
        </w:rPr>
        <w:tab/>
        <w:t>Chairman</w:t>
      </w:r>
      <w:r>
        <w:rPr>
          <w:rFonts w:ascii="Georgia" w:hAnsi="Georgia"/>
        </w:rPr>
        <w:t xml:space="preserve"> Seth Harp called the meeting to order.  He welcomed all attendees.  The members present beside</w:t>
      </w:r>
      <w:r w:rsidR="003863E7">
        <w:rPr>
          <w:rFonts w:ascii="Georgia" w:hAnsi="Georgia"/>
        </w:rPr>
        <w:t>s</w:t>
      </w:r>
      <w:r>
        <w:rPr>
          <w:rFonts w:ascii="Georgia" w:hAnsi="Georgia"/>
        </w:rPr>
        <w:t xml:space="preserve"> Chairman Harp were Superior Court Judge Campbell</w:t>
      </w:r>
      <w:r w:rsidR="00AD2825">
        <w:rPr>
          <w:rFonts w:ascii="Georgia" w:hAnsi="Georgia"/>
        </w:rPr>
        <w:t xml:space="preserve"> and </w:t>
      </w:r>
      <w:r>
        <w:rPr>
          <w:rFonts w:ascii="Georgia" w:hAnsi="Georgia"/>
        </w:rPr>
        <w:t>Joy Hawkins</w:t>
      </w:r>
      <w:r w:rsidR="00AD2825">
        <w:rPr>
          <w:rFonts w:ascii="Georgia" w:hAnsi="Georgia"/>
        </w:rPr>
        <w:t xml:space="preserve">. </w:t>
      </w:r>
      <w:r w:rsidR="00CD77DF">
        <w:rPr>
          <w:rFonts w:ascii="Georgia" w:hAnsi="Georgia"/>
        </w:rPr>
        <w:t xml:space="preserve"> </w:t>
      </w:r>
      <w:r w:rsidR="000A6389" w:rsidRPr="00040DC1">
        <w:rPr>
          <w:rFonts w:ascii="Georgia" w:hAnsi="Georgia"/>
          <w:bCs/>
        </w:rPr>
        <w:t xml:space="preserve">Attending by phone </w:t>
      </w:r>
      <w:r>
        <w:rPr>
          <w:rFonts w:ascii="Georgia" w:hAnsi="Georgia"/>
          <w:bCs/>
        </w:rPr>
        <w:t>were Superior Court</w:t>
      </w:r>
      <w:r w:rsidR="000A6389" w:rsidRPr="00040DC1">
        <w:rPr>
          <w:rFonts w:ascii="Georgia" w:hAnsi="Georgia"/>
          <w:bCs/>
        </w:rPr>
        <w:t xml:space="preserve"> Judge Louisa Abbot, Charles Clay, </w:t>
      </w:r>
      <w:r w:rsidR="00A87EFF">
        <w:rPr>
          <w:rFonts w:ascii="Georgia" w:hAnsi="Georgia"/>
          <w:bCs/>
        </w:rPr>
        <w:t xml:space="preserve">and </w:t>
      </w:r>
      <w:r>
        <w:rPr>
          <w:rFonts w:ascii="Georgia" w:hAnsi="Georgia"/>
          <w:bCs/>
        </w:rPr>
        <w:t>Dr</w:t>
      </w:r>
      <w:r w:rsidR="000A6389" w:rsidRPr="00040DC1">
        <w:rPr>
          <w:rFonts w:ascii="Georgia" w:hAnsi="Georgia"/>
          <w:bCs/>
        </w:rPr>
        <w:t>. Roger Tutterow</w:t>
      </w:r>
      <w:r w:rsidR="00A87EFF">
        <w:rPr>
          <w:rFonts w:ascii="Georgia" w:hAnsi="Georgia"/>
          <w:bCs/>
        </w:rPr>
        <w:t xml:space="preserve">. </w:t>
      </w:r>
      <w:r>
        <w:rPr>
          <w:rFonts w:ascii="Georgia" w:hAnsi="Georgia"/>
          <w:bCs/>
        </w:rPr>
        <w:t xml:space="preserve"> </w:t>
      </w:r>
      <w:r>
        <w:rPr>
          <w:rFonts w:ascii="Georgia" w:hAnsi="Georgia" w:cs="Georgia"/>
        </w:rPr>
        <w:t>Jill Radwin, Elaine Johnson and Debra Oliver staffed the</w:t>
      </w:r>
      <w:r w:rsidR="00A87EFF">
        <w:rPr>
          <w:rFonts w:ascii="Georgia" w:hAnsi="Georgia" w:cs="Georgia"/>
        </w:rPr>
        <w:t xml:space="preserve"> </w:t>
      </w:r>
      <w:r>
        <w:rPr>
          <w:rFonts w:ascii="Georgia" w:hAnsi="Georgia" w:cs="Georgia"/>
        </w:rPr>
        <w:t>meeting.</w:t>
      </w:r>
    </w:p>
    <w:p w:rsidR="00040DC1" w:rsidRPr="00040DC1" w:rsidRDefault="00040DC1" w:rsidP="00040DC1">
      <w:pPr>
        <w:rPr>
          <w:rFonts w:ascii="Georgia" w:hAnsi="Georgia"/>
          <w:bCs/>
        </w:rPr>
      </w:pPr>
    </w:p>
    <w:p w:rsidR="003D3E5E" w:rsidRPr="00040DC1" w:rsidRDefault="008037F2" w:rsidP="0069393D">
      <w:pPr>
        <w:autoSpaceDE w:val="0"/>
        <w:autoSpaceDN w:val="0"/>
        <w:adjustRightInd w:val="0"/>
        <w:ind w:firstLine="720"/>
        <w:rPr>
          <w:rFonts w:ascii="Georgia" w:hAnsi="Georgia"/>
          <w:bCs/>
        </w:rPr>
      </w:pPr>
      <w:r w:rsidRPr="00040DC1">
        <w:rPr>
          <w:rFonts w:ascii="Georgia" w:hAnsi="Georgia"/>
          <w:bCs/>
        </w:rPr>
        <w:t xml:space="preserve">Chairman Harp </w:t>
      </w:r>
      <w:r w:rsidR="009F4441">
        <w:rPr>
          <w:rFonts w:ascii="Georgia" w:hAnsi="Georgia"/>
          <w:bCs/>
        </w:rPr>
        <w:t>provided a tribute to the late Court of Appeals Judge Debra H. Bernes, who served on the permanent Child Support Commission</w:t>
      </w:r>
      <w:r w:rsidR="001F682E">
        <w:rPr>
          <w:rFonts w:ascii="Georgia" w:hAnsi="Georgia"/>
          <w:bCs/>
        </w:rPr>
        <w:t xml:space="preserve"> (“Commission")</w:t>
      </w:r>
      <w:r w:rsidR="009F4441">
        <w:rPr>
          <w:rFonts w:ascii="Georgia" w:hAnsi="Georgia"/>
          <w:bCs/>
        </w:rPr>
        <w:t xml:space="preserve"> since its establishment in 2005, and passed away over the summer.  </w:t>
      </w:r>
      <w:r w:rsidR="00A87EFF">
        <w:rPr>
          <w:rFonts w:ascii="Georgia" w:hAnsi="Georgia"/>
          <w:bCs/>
        </w:rPr>
        <w:t xml:space="preserve">After saying a few comments, he </w:t>
      </w:r>
      <w:r w:rsidRPr="00040DC1">
        <w:rPr>
          <w:rFonts w:ascii="Georgia" w:hAnsi="Georgia"/>
          <w:bCs/>
        </w:rPr>
        <w:t>allowed time for attendees</w:t>
      </w:r>
      <w:r w:rsidR="00255A44">
        <w:rPr>
          <w:rFonts w:ascii="Georgia" w:hAnsi="Georgia"/>
          <w:bCs/>
        </w:rPr>
        <w:t xml:space="preserve"> and</w:t>
      </w:r>
      <w:r w:rsidR="001F682E">
        <w:rPr>
          <w:rFonts w:ascii="Georgia" w:hAnsi="Georgia"/>
          <w:bCs/>
        </w:rPr>
        <w:t xml:space="preserve"> C</w:t>
      </w:r>
      <w:r w:rsidR="00255A44" w:rsidRPr="001F682E">
        <w:rPr>
          <w:rFonts w:ascii="Georgia" w:hAnsi="Georgia"/>
          <w:bCs/>
        </w:rPr>
        <w:t xml:space="preserve">ommission </w:t>
      </w:r>
      <w:r w:rsidR="001F682E">
        <w:rPr>
          <w:rFonts w:ascii="Georgia" w:hAnsi="Georgia"/>
          <w:bCs/>
        </w:rPr>
        <w:t>s</w:t>
      </w:r>
      <w:r w:rsidR="00A87EFF" w:rsidRPr="001F682E">
        <w:rPr>
          <w:rFonts w:ascii="Georgia" w:hAnsi="Georgia"/>
          <w:bCs/>
        </w:rPr>
        <w:t>taff</w:t>
      </w:r>
      <w:r w:rsidRPr="00040DC1">
        <w:rPr>
          <w:rFonts w:ascii="Georgia" w:hAnsi="Georgia"/>
          <w:bCs/>
        </w:rPr>
        <w:t xml:space="preserve"> to </w:t>
      </w:r>
      <w:r w:rsidR="00A87EFF">
        <w:rPr>
          <w:rFonts w:ascii="Georgia" w:hAnsi="Georgia"/>
          <w:bCs/>
        </w:rPr>
        <w:t>give tributes</w:t>
      </w:r>
      <w:r w:rsidR="00C965DF" w:rsidRPr="00040DC1">
        <w:rPr>
          <w:rFonts w:ascii="Georgia" w:hAnsi="Georgia"/>
          <w:bCs/>
        </w:rPr>
        <w:t xml:space="preserve"> and remembrances of Judge Bernes.</w:t>
      </w:r>
    </w:p>
    <w:p w:rsidR="00C965DF" w:rsidRPr="00040DC1" w:rsidRDefault="00C965DF" w:rsidP="0069393D">
      <w:pPr>
        <w:autoSpaceDE w:val="0"/>
        <w:autoSpaceDN w:val="0"/>
        <w:adjustRightInd w:val="0"/>
        <w:ind w:firstLine="720"/>
        <w:rPr>
          <w:rFonts w:ascii="Georgia" w:hAnsi="Georgia"/>
          <w:bCs/>
        </w:rPr>
      </w:pPr>
    </w:p>
    <w:p w:rsidR="00704936" w:rsidRPr="001F682E" w:rsidRDefault="00C965DF" w:rsidP="001F682E">
      <w:pPr>
        <w:numPr>
          <w:ilvl w:val="0"/>
          <w:numId w:val="12"/>
        </w:numPr>
        <w:tabs>
          <w:tab w:val="left" w:pos="360"/>
        </w:tabs>
        <w:ind w:left="360"/>
        <w:rPr>
          <w:rFonts w:ascii="Georgia" w:hAnsi="Georgia"/>
          <w:b/>
          <w:u w:val="single"/>
        </w:rPr>
      </w:pPr>
      <w:r w:rsidRPr="001F682E">
        <w:rPr>
          <w:rFonts w:ascii="Georgia" w:hAnsi="Georgia"/>
          <w:b/>
          <w:u w:val="single"/>
        </w:rPr>
        <w:t>2010 Case Sampling</w:t>
      </w:r>
    </w:p>
    <w:p w:rsidR="00704936" w:rsidRPr="00040DC1" w:rsidRDefault="00704936" w:rsidP="002C7B8E">
      <w:pPr>
        <w:autoSpaceDE w:val="0"/>
        <w:autoSpaceDN w:val="0"/>
        <w:adjustRightInd w:val="0"/>
        <w:rPr>
          <w:rFonts w:ascii="Georgia" w:hAnsi="Georgia"/>
          <w:bCs/>
        </w:rPr>
      </w:pPr>
    </w:p>
    <w:p w:rsidR="00255A44" w:rsidRDefault="00255A44" w:rsidP="00255A44">
      <w:pPr>
        <w:pStyle w:val="ListParagraph"/>
        <w:numPr>
          <w:ilvl w:val="0"/>
          <w:numId w:val="36"/>
        </w:numPr>
        <w:autoSpaceDE w:val="0"/>
        <w:autoSpaceDN w:val="0"/>
        <w:adjustRightInd w:val="0"/>
        <w:rPr>
          <w:rFonts w:ascii="Georgia" w:hAnsi="Georgia"/>
          <w:bCs/>
        </w:rPr>
      </w:pPr>
      <w:r>
        <w:rPr>
          <w:rFonts w:ascii="Georgia" w:hAnsi="Georgia"/>
          <w:bCs/>
        </w:rPr>
        <w:t>PURPOSE AND PROCEDURE</w:t>
      </w:r>
    </w:p>
    <w:p w:rsidR="00255A44" w:rsidRPr="00255A44" w:rsidRDefault="00255A44" w:rsidP="00255A44">
      <w:pPr>
        <w:pStyle w:val="ListParagraph"/>
        <w:autoSpaceDE w:val="0"/>
        <w:autoSpaceDN w:val="0"/>
        <w:adjustRightInd w:val="0"/>
        <w:ind w:left="1080"/>
        <w:rPr>
          <w:rFonts w:ascii="Georgia" w:hAnsi="Georgia"/>
          <w:bCs/>
        </w:rPr>
      </w:pPr>
    </w:p>
    <w:p w:rsidR="00316302" w:rsidRPr="00040DC1" w:rsidRDefault="00C965DF" w:rsidP="00316302">
      <w:pPr>
        <w:autoSpaceDE w:val="0"/>
        <w:autoSpaceDN w:val="0"/>
        <w:adjustRightInd w:val="0"/>
        <w:ind w:firstLine="720"/>
        <w:rPr>
          <w:rFonts w:ascii="Georgia" w:hAnsi="Georgia"/>
          <w:bCs/>
        </w:rPr>
      </w:pPr>
      <w:r w:rsidRPr="00040DC1">
        <w:rPr>
          <w:rFonts w:ascii="Georgia" w:hAnsi="Georgia"/>
          <w:bCs/>
        </w:rPr>
        <w:t xml:space="preserve">Chairman Harp </w:t>
      </w:r>
      <w:r w:rsidR="000A49A9">
        <w:rPr>
          <w:rFonts w:ascii="Georgia" w:hAnsi="Georgia"/>
          <w:bCs/>
        </w:rPr>
        <w:t>called on</w:t>
      </w:r>
      <w:r w:rsidRPr="00040DC1">
        <w:rPr>
          <w:rFonts w:ascii="Georgia" w:hAnsi="Georgia"/>
          <w:bCs/>
        </w:rPr>
        <w:t xml:space="preserve"> Jill Radwin</w:t>
      </w:r>
      <w:r w:rsidR="000A49A9">
        <w:rPr>
          <w:rFonts w:ascii="Georgia" w:hAnsi="Georgia"/>
          <w:bCs/>
        </w:rPr>
        <w:t xml:space="preserve">, </w:t>
      </w:r>
      <w:r w:rsidR="001F682E">
        <w:rPr>
          <w:rFonts w:ascii="Georgia" w:hAnsi="Georgia"/>
          <w:bCs/>
        </w:rPr>
        <w:t>s</w:t>
      </w:r>
      <w:r w:rsidR="000A49A9">
        <w:rPr>
          <w:rFonts w:ascii="Georgia" w:hAnsi="Georgia"/>
          <w:bCs/>
        </w:rPr>
        <w:t xml:space="preserve">taff </w:t>
      </w:r>
      <w:r w:rsidR="001F682E">
        <w:rPr>
          <w:rFonts w:ascii="Georgia" w:hAnsi="Georgia"/>
          <w:bCs/>
        </w:rPr>
        <w:t>a</w:t>
      </w:r>
      <w:r w:rsidR="000A49A9">
        <w:rPr>
          <w:rFonts w:ascii="Georgia" w:hAnsi="Georgia"/>
          <w:bCs/>
        </w:rPr>
        <w:t xml:space="preserve">ttorney to the </w:t>
      </w:r>
      <w:r w:rsidR="001F682E">
        <w:rPr>
          <w:rFonts w:ascii="Georgia" w:hAnsi="Georgia"/>
          <w:bCs/>
        </w:rPr>
        <w:t>C</w:t>
      </w:r>
      <w:r w:rsidR="000A49A9">
        <w:rPr>
          <w:rFonts w:ascii="Georgia" w:hAnsi="Georgia"/>
          <w:bCs/>
        </w:rPr>
        <w:t>ommission,</w:t>
      </w:r>
      <w:r w:rsidRPr="00040DC1">
        <w:rPr>
          <w:rFonts w:ascii="Georgia" w:hAnsi="Georgia"/>
          <w:bCs/>
        </w:rPr>
        <w:t xml:space="preserve"> to speak about the 2010 Case Sampling purpose and procedure. </w:t>
      </w:r>
      <w:r w:rsidR="00A3606A">
        <w:rPr>
          <w:rFonts w:ascii="Georgia" w:hAnsi="Georgia"/>
          <w:bCs/>
        </w:rPr>
        <w:t xml:space="preserve"> </w:t>
      </w:r>
      <w:r w:rsidR="00F90960">
        <w:rPr>
          <w:rFonts w:ascii="Georgia" w:hAnsi="Georgia"/>
          <w:bCs/>
        </w:rPr>
        <w:t xml:space="preserve">Jill said one of the main purposes of the </w:t>
      </w:r>
      <w:r w:rsidR="001F682E">
        <w:rPr>
          <w:rFonts w:ascii="Georgia" w:hAnsi="Georgia"/>
          <w:bCs/>
        </w:rPr>
        <w:t>C</w:t>
      </w:r>
      <w:r w:rsidR="00F90960">
        <w:rPr>
          <w:rFonts w:ascii="Georgia" w:hAnsi="Georgia"/>
          <w:bCs/>
        </w:rPr>
        <w:t xml:space="preserve">ommission meeting today </w:t>
      </w:r>
      <w:r w:rsidR="009417EB">
        <w:rPr>
          <w:rFonts w:ascii="Georgia" w:hAnsi="Georgia"/>
          <w:bCs/>
        </w:rPr>
        <w:t>was</w:t>
      </w:r>
      <w:r w:rsidR="00F90960">
        <w:rPr>
          <w:rFonts w:ascii="Georgia" w:hAnsi="Georgia"/>
          <w:bCs/>
        </w:rPr>
        <w:t xml:space="preserve"> to review the </w:t>
      </w:r>
      <w:r w:rsidR="000A49A9">
        <w:rPr>
          <w:rFonts w:ascii="Georgia" w:hAnsi="Georgia"/>
          <w:bCs/>
        </w:rPr>
        <w:t xml:space="preserve">results of the </w:t>
      </w:r>
      <w:r w:rsidR="00F90960">
        <w:rPr>
          <w:rFonts w:ascii="Georgia" w:hAnsi="Georgia"/>
          <w:bCs/>
        </w:rPr>
        <w:t xml:space="preserve">Case Sampling project, which was conducted and analyzed during the past six </w:t>
      </w:r>
      <w:r w:rsidR="009B4F6D">
        <w:rPr>
          <w:rFonts w:ascii="Georgia" w:hAnsi="Georgia"/>
          <w:bCs/>
        </w:rPr>
        <w:t xml:space="preserve">to eight months.  </w:t>
      </w:r>
      <w:r w:rsidR="00A3606A">
        <w:rPr>
          <w:rFonts w:ascii="Georgia" w:hAnsi="Georgia"/>
          <w:bCs/>
        </w:rPr>
        <w:t xml:space="preserve">Jill stated that the Case Sampling project was conducted pursuant to US Code and Regulations, as well as state statute regulating the duties of the Child Support Commission.  </w:t>
      </w:r>
      <w:r w:rsidR="00CD442B">
        <w:rPr>
          <w:rFonts w:ascii="Georgia" w:hAnsi="Georgia"/>
          <w:bCs/>
        </w:rPr>
        <w:t xml:space="preserve">Under 42 U.S.C. §667, “[t]he [state’s] guidelines…shall be reviewed at least once every four years to ensure </w:t>
      </w:r>
      <w:r w:rsidR="00481A65">
        <w:rPr>
          <w:rFonts w:ascii="Georgia" w:hAnsi="Georgia"/>
          <w:bCs/>
        </w:rPr>
        <w:t xml:space="preserve">that their application results in the determination of appropriate child support award amounts,” and 45 C.F.R. §302.56(h), charges that “[a]s part of the review of a State guidelines…a State must consider economic data on the cost of raising children and analyze case data, gathered through sampling or other methods, on the application of, and deviation from, the guidelines.  The analysis </w:t>
      </w:r>
      <w:r w:rsidR="00481A65" w:rsidRPr="00040DC1">
        <w:rPr>
          <w:rFonts w:ascii="Georgia" w:hAnsi="Georgia"/>
          <w:bCs/>
        </w:rPr>
        <w:t xml:space="preserve">of the data must be used in the State’s review of the guidelines to ensure that deviations from the guidelines are limited.”  </w:t>
      </w:r>
      <w:r w:rsidR="00481A65">
        <w:rPr>
          <w:rFonts w:ascii="Georgia" w:hAnsi="Georgia"/>
          <w:bCs/>
        </w:rPr>
        <w:t xml:space="preserve">Jill explained that in Georgia, </w:t>
      </w:r>
      <w:r w:rsidR="00316302" w:rsidRPr="00040DC1">
        <w:rPr>
          <w:rFonts w:ascii="Georgia" w:hAnsi="Georgia"/>
          <w:bCs/>
        </w:rPr>
        <w:t>the Division of Child Support Services (DCSS) issues the report of this review to the U.S. Department of Health and Human Services (HHS) every four years; however, since the creation of a permanent Child Support Commission in 2005, the Commission has assumed the duties of case sampling to produce the data required by the federal regulation.</w:t>
      </w:r>
    </w:p>
    <w:p w:rsidR="00C965DF" w:rsidRPr="00040DC1" w:rsidRDefault="00C965DF" w:rsidP="00C965DF">
      <w:pPr>
        <w:autoSpaceDE w:val="0"/>
        <w:autoSpaceDN w:val="0"/>
        <w:adjustRightInd w:val="0"/>
        <w:ind w:firstLine="720"/>
        <w:rPr>
          <w:rFonts w:ascii="Georgia" w:hAnsi="Georgia"/>
          <w:bCs/>
        </w:rPr>
      </w:pPr>
    </w:p>
    <w:p w:rsidR="002E03F9" w:rsidRDefault="007109CC" w:rsidP="00C965DF">
      <w:pPr>
        <w:autoSpaceDE w:val="0"/>
        <w:autoSpaceDN w:val="0"/>
        <w:adjustRightInd w:val="0"/>
        <w:ind w:firstLine="720"/>
        <w:rPr>
          <w:rFonts w:ascii="Georgia" w:hAnsi="Georgia"/>
          <w:bCs/>
        </w:rPr>
      </w:pPr>
      <w:r>
        <w:rPr>
          <w:rFonts w:ascii="Georgia" w:hAnsi="Georgia"/>
          <w:bCs/>
        </w:rPr>
        <w:t>In describing the process, Jill said the Child Support Commission Staff (“Staff”</w:t>
      </w:r>
      <w:r w:rsidR="009015F4">
        <w:rPr>
          <w:rFonts w:ascii="Georgia" w:hAnsi="Georgia"/>
          <w:bCs/>
        </w:rPr>
        <w:t>) in</w:t>
      </w:r>
      <w:r w:rsidR="00316302">
        <w:rPr>
          <w:rFonts w:ascii="Georgia" w:hAnsi="Georgia"/>
          <w:bCs/>
        </w:rPr>
        <w:t xml:space="preserve"> March 2010 </w:t>
      </w:r>
      <w:r w:rsidR="00C965DF" w:rsidRPr="00040DC1">
        <w:rPr>
          <w:rFonts w:ascii="Georgia" w:hAnsi="Georgia"/>
          <w:bCs/>
        </w:rPr>
        <w:t>began gathering data to assist DCSS again with their federal report.  As in the previous review</w:t>
      </w:r>
      <w:r w:rsidR="000A49A9">
        <w:rPr>
          <w:rFonts w:ascii="Georgia" w:hAnsi="Georgia"/>
          <w:bCs/>
        </w:rPr>
        <w:t xml:space="preserve"> in 2005</w:t>
      </w:r>
      <w:r w:rsidR="00C965DF" w:rsidRPr="00040DC1">
        <w:rPr>
          <w:rFonts w:ascii="Georgia" w:hAnsi="Georgia"/>
          <w:bCs/>
        </w:rPr>
        <w:t xml:space="preserve">, twelve counties were chosen through scientific means </w:t>
      </w:r>
      <w:r w:rsidR="00C965DF" w:rsidRPr="00040DC1">
        <w:rPr>
          <w:rFonts w:ascii="Georgia" w:hAnsi="Georgia"/>
          <w:bCs/>
        </w:rPr>
        <w:lastRenderedPageBreak/>
        <w:t>with the assistance of Dr.</w:t>
      </w:r>
      <w:r w:rsidR="00E705D0">
        <w:rPr>
          <w:rFonts w:ascii="Georgia" w:hAnsi="Georgia"/>
          <w:bCs/>
        </w:rPr>
        <w:t xml:space="preserve"> Roger Tutterow, economist and C</w:t>
      </w:r>
      <w:r w:rsidR="00C965DF" w:rsidRPr="00040DC1">
        <w:rPr>
          <w:rFonts w:ascii="Georgia" w:hAnsi="Georgia"/>
          <w:bCs/>
        </w:rPr>
        <w:t xml:space="preserve">ommission member.  The counties included in the </w:t>
      </w:r>
      <w:r w:rsidR="000A49A9">
        <w:rPr>
          <w:rFonts w:ascii="Georgia" w:hAnsi="Georgia"/>
          <w:bCs/>
        </w:rPr>
        <w:t>current</w:t>
      </w:r>
      <w:r w:rsidR="00C965DF" w:rsidRPr="00040DC1">
        <w:rPr>
          <w:rFonts w:ascii="Georgia" w:hAnsi="Georgia"/>
          <w:bCs/>
        </w:rPr>
        <w:t xml:space="preserve"> case sampling were Colquitt, Franklin, Gwinnett, Laurens, Liberty, Madison, Meriwether, Sumter, Twiggs, Walker, Ware, and Wilkes.  The request was made to the clerk of court for each of these counties to submit their final child support orders for the month of October 2009</w:t>
      </w:r>
      <w:r w:rsidR="00332C7D" w:rsidRPr="00040DC1">
        <w:rPr>
          <w:rFonts w:ascii="Georgia" w:hAnsi="Georgia"/>
          <w:bCs/>
        </w:rPr>
        <w:t>,</w:t>
      </w:r>
      <w:r w:rsidR="00C965DF" w:rsidRPr="00040DC1">
        <w:rPr>
          <w:rFonts w:ascii="Georgia" w:hAnsi="Georgia"/>
          <w:bCs/>
        </w:rPr>
        <w:t xml:space="preserve"> to the Child Support Commission Staff.  DCSS also provided final child support orders and worksheets</w:t>
      </w:r>
      <w:r w:rsidR="000A49A9">
        <w:rPr>
          <w:rFonts w:ascii="Georgia" w:hAnsi="Georgia"/>
          <w:bCs/>
        </w:rPr>
        <w:t>/</w:t>
      </w:r>
      <w:r w:rsidR="002E03F9">
        <w:rPr>
          <w:rFonts w:ascii="Georgia" w:hAnsi="Georgia"/>
          <w:bCs/>
        </w:rPr>
        <w:t xml:space="preserve"> </w:t>
      </w:r>
      <w:r w:rsidR="000A49A9">
        <w:rPr>
          <w:rFonts w:ascii="Georgia" w:hAnsi="Georgia"/>
          <w:bCs/>
        </w:rPr>
        <w:t>schedules</w:t>
      </w:r>
      <w:r w:rsidR="00C965DF" w:rsidRPr="00040DC1">
        <w:rPr>
          <w:rFonts w:ascii="Georgia" w:hAnsi="Georgia"/>
          <w:bCs/>
        </w:rPr>
        <w:t xml:space="preserve"> for their cases from the same counties</w:t>
      </w:r>
      <w:r w:rsidR="00332C7D" w:rsidRPr="00040DC1">
        <w:rPr>
          <w:rFonts w:ascii="Georgia" w:hAnsi="Georgia"/>
          <w:bCs/>
        </w:rPr>
        <w:t xml:space="preserve"> and time period.</w:t>
      </w:r>
      <w:r w:rsidR="00C965DF" w:rsidRPr="00040DC1">
        <w:rPr>
          <w:rFonts w:ascii="Georgia" w:hAnsi="Georgia"/>
          <w:bCs/>
        </w:rPr>
        <w:t xml:space="preserve">  </w:t>
      </w:r>
    </w:p>
    <w:p w:rsidR="00316302" w:rsidRPr="00040DC1" w:rsidRDefault="00316302" w:rsidP="00C965DF">
      <w:pPr>
        <w:autoSpaceDE w:val="0"/>
        <w:autoSpaceDN w:val="0"/>
        <w:adjustRightInd w:val="0"/>
        <w:ind w:firstLine="720"/>
        <w:rPr>
          <w:rFonts w:ascii="Georgia" w:hAnsi="Georgia"/>
          <w:bCs/>
        </w:rPr>
      </w:pPr>
    </w:p>
    <w:p w:rsidR="00B97B61" w:rsidRDefault="00255A44" w:rsidP="00255A44">
      <w:pPr>
        <w:pStyle w:val="ListParagraph"/>
        <w:numPr>
          <w:ilvl w:val="0"/>
          <w:numId w:val="36"/>
        </w:numPr>
        <w:autoSpaceDE w:val="0"/>
        <w:autoSpaceDN w:val="0"/>
        <w:adjustRightInd w:val="0"/>
        <w:rPr>
          <w:rFonts w:ascii="Georgia" w:hAnsi="Georgia"/>
          <w:bCs/>
        </w:rPr>
      </w:pPr>
      <w:r>
        <w:rPr>
          <w:rFonts w:ascii="Georgia" w:hAnsi="Georgia"/>
          <w:bCs/>
        </w:rPr>
        <w:t>RESULTS OF THE CASE SAMPLING</w:t>
      </w:r>
    </w:p>
    <w:p w:rsidR="005E2105" w:rsidRPr="00255A44" w:rsidRDefault="005E2105" w:rsidP="005E2105">
      <w:pPr>
        <w:pStyle w:val="ListParagraph"/>
        <w:autoSpaceDE w:val="0"/>
        <w:autoSpaceDN w:val="0"/>
        <w:adjustRightInd w:val="0"/>
        <w:ind w:left="1080"/>
        <w:rPr>
          <w:rFonts w:ascii="Georgia" w:hAnsi="Georgia"/>
          <w:bCs/>
        </w:rPr>
      </w:pPr>
    </w:p>
    <w:p w:rsidR="001979E6" w:rsidRDefault="008C70D1" w:rsidP="00EE68CF">
      <w:pPr>
        <w:autoSpaceDE w:val="0"/>
        <w:autoSpaceDN w:val="0"/>
        <w:adjustRightInd w:val="0"/>
        <w:ind w:firstLine="720"/>
        <w:rPr>
          <w:rFonts w:ascii="Georgia" w:hAnsi="Georgia"/>
          <w:bCs/>
        </w:rPr>
      </w:pPr>
      <w:r w:rsidRPr="00040DC1">
        <w:rPr>
          <w:rFonts w:ascii="Georgia" w:hAnsi="Georgia"/>
          <w:bCs/>
        </w:rPr>
        <w:t>Debra Oliver</w:t>
      </w:r>
      <w:r w:rsidR="001979E6">
        <w:rPr>
          <w:rFonts w:ascii="Georgia" w:hAnsi="Georgia"/>
          <w:bCs/>
        </w:rPr>
        <w:t xml:space="preserve">, </w:t>
      </w:r>
      <w:r w:rsidR="00E705D0">
        <w:rPr>
          <w:rFonts w:ascii="Georgia" w:hAnsi="Georgia"/>
          <w:bCs/>
        </w:rPr>
        <w:t>p</w:t>
      </w:r>
      <w:r w:rsidR="001979E6">
        <w:rPr>
          <w:rFonts w:ascii="Georgia" w:hAnsi="Georgia"/>
          <w:bCs/>
        </w:rPr>
        <w:t xml:space="preserve">roject </w:t>
      </w:r>
      <w:r w:rsidR="00DD7EF2">
        <w:rPr>
          <w:rFonts w:ascii="Georgia" w:hAnsi="Georgia"/>
          <w:bCs/>
        </w:rPr>
        <w:t>a</w:t>
      </w:r>
      <w:r w:rsidR="001979E6">
        <w:rPr>
          <w:rFonts w:ascii="Georgia" w:hAnsi="Georgia"/>
          <w:bCs/>
        </w:rPr>
        <w:t xml:space="preserve">ssistant of the Commission, provided a report to the Commission of the Case Sampling </w:t>
      </w:r>
      <w:r w:rsidR="0035066A">
        <w:rPr>
          <w:rFonts w:ascii="Georgia" w:hAnsi="Georgia"/>
          <w:bCs/>
        </w:rPr>
        <w:t>results</w:t>
      </w:r>
      <w:r w:rsidR="00113FDF">
        <w:rPr>
          <w:rFonts w:ascii="Georgia" w:hAnsi="Georgia"/>
          <w:bCs/>
        </w:rPr>
        <w:t xml:space="preserve"> that she with Elaine Johnson</w:t>
      </w:r>
      <w:r w:rsidR="0089591A">
        <w:rPr>
          <w:rFonts w:ascii="Georgia" w:hAnsi="Georgia"/>
          <w:bCs/>
        </w:rPr>
        <w:t xml:space="preserve">, Commission’s </w:t>
      </w:r>
      <w:r w:rsidR="00E705D0">
        <w:rPr>
          <w:rFonts w:ascii="Georgia" w:hAnsi="Georgia"/>
          <w:bCs/>
        </w:rPr>
        <w:t>c</w:t>
      </w:r>
      <w:r w:rsidR="0089591A">
        <w:rPr>
          <w:rFonts w:ascii="Georgia" w:hAnsi="Georgia"/>
          <w:bCs/>
        </w:rPr>
        <w:t xml:space="preserve">hild </w:t>
      </w:r>
      <w:r w:rsidR="00E705D0">
        <w:rPr>
          <w:rFonts w:ascii="Georgia" w:hAnsi="Georgia"/>
          <w:bCs/>
        </w:rPr>
        <w:t>s</w:t>
      </w:r>
      <w:r w:rsidR="0089591A">
        <w:rPr>
          <w:rFonts w:ascii="Georgia" w:hAnsi="Georgia"/>
          <w:bCs/>
        </w:rPr>
        <w:t xml:space="preserve">upport </w:t>
      </w:r>
      <w:r w:rsidR="00E705D0">
        <w:rPr>
          <w:rFonts w:ascii="Georgia" w:hAnsi="Georgia"/>
          <w:bCs/>
        </w:rPr>
        <w:t>g</w:t>
      </w:r>
      <w:r w:rsidR="0089591A">
        <w:rPr>
          <w:rFonts w:ascii="Georgia" w:hAnsi="Georgia"/>
          <w:bCs/>
        </w:rPr>
        <w:t xml:space="preserve">uidelines </w:t>
      </w:r>
      <w:r w:rsidR="00E705D0">
        <w:rPr>
          <w:rFonts w:ascii="Georgia" w:hAnsi="Georgia"/>
          <w:bCs/>
        </w:rPr>
        <w:t>c</w:t>
      </w:r>
      <w:r w:rsidR="0089591A">
        <w:rPr>
          <w:rFonts w:ascii="Georgia" w:hAnsi="Georgia"/>
          <w:bCs/>
        </w:rPr>
        <w:t>oordinator,</w:t>
      </w:r>
      <w:r w:rsidR="00113FDF">
        <w:rPr>
          <w:rFonts w:ascii="Georgia" w:hAnsi="Georgia"/>
          <w:bCs/>
        </w:rPr>
        <w:t xml:space="preserve"> had compiled and entered.  </w:t>
      </w:r>
      <w:r w:rsidR="007C3212">
        <w:rPr>
          <w:rFonts w:ascii="Georgia" w:hAnsi="Georgia"/>
          <w:bCs/>
        </w:rPr>
        <w:t>Some of the findings include:</w:t>
      </w:r>
    </w:p>
    <w:p w:rsidR="007C3212" w:rsidRDefault="007C3212" w:rsidP="00EE68CF">
      <w:pPr>
        <w:autoSpaceDE w:val="0"/>
        <w:autoSpaceDN w:val="0"/>
        <w:adjustRightInd w:val="0"/>
        <w:ind w:firstLine="720"/>
        <w:rPr>
          <w:rFonts w:ascii="Georgia" w:hAnsi="Georgia"/>
          <w:bCs/>
        </w:rPr>
      </w:pPr>
    </w:p>
    <w:p w:rsidR="00CD77DF" w:rsidRPr="00CD77DF" w:rsidRDefault="007C3212" w:rsidP="00B502A0">
      <w:pPr>
        <w:pStyle w:val="NormalWeb"/>
        <w:numPr>
          <w:ilvl w:val="1"/>
          <w:numId w:val="32"/>
        </w:numPr>
        <w:rPr>
          <w:rFonts w:ascii="Georgia" w:hAnsi="Georgia"/>
        </w:rPr>
      </w:pPr>
      <w:r w:rsidRPr="00B502A0">
        <w:rPr>
          <w:rFonts w:ascii="Georgia" w:hAnsi="Georgia" w:cstheme="minorHAnsi"/>
          <w:sz w:val="24"/>
          <w:szCs w:val="24"/>
        </w:rPr>
        <w:t>299 orders were received in the case sampling.  Of those, 31 were ineligible due to being out of the date range, October 2009, when the order was finalized or for incomplete information for analysis.  267 orders were reviewed in the twelve counties.  Gwinnett County had a total of 149</w:t>
      </w:r>
      <w:r w:rsidR="00A20577" w:rsidRPr="00B502A0">
        <w:rPr>
          <w:rFonts w:ascii="Georgia" w:hAnsi="Georgia" w:cstheme="minorHAnsi"/>
          <w:sz w:val="24"/>
          <w:szCs w:val="24"/>
        </w:rPr>
        <w:t xml:space="preserve"> of the 267 cases – 35 DCSS cases and 114 private cases – 56% of the total cases.  Twiggs County had no private cases, only DCSS cases. [Exhibit 1</w:t>
      </w:r>
      <w:r w:rsidR="00B502A0">
        <w:rPr>
          <w:rFonts w:ascii="Georgia" w:hAnsi="Georgia" w:cstheme="minorHAnsi"/>
          <w:sz w:val="24"/>
          <w:szCs w:val="24"/>
        </w:rPr>
        <w:t>]</w:t>
      </w:r>
    </w:p>
    <w:p w:rsidR="00A20577" w:rsidRPr="00B502A0" w:rsidRDefault="00A20577" w:rsidP="00CD77DF">
      <w:pPr>
        <w:pStyle w:val="NormalWeb"/>
        <w:ind w:left="1440"/>
        <w:rPr>
          <w:rFonts w:ascii="Georgia" w:hAnsi="Georgia"/>
        </w:rPr>
      </w:pPr>
      <w:r>
        <w:rPr>
          <w:rFonts w:ascii="Georgia" w:hAnsi="Georgia"/>
          <w:noProof/>
        </w:rPr>
        <w:drawing>
          <wp:inline distT="0" distB="0" distL="0" distR="0">
            <wp:extent cx="2708275" cy="305943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08275" cy="3059430"/>
                    </a:xfrm>
                    <a:prstGeom prst="rect">
                      <a:avLst/>
                    </a:prstGeom>
                    <a:noFill/>
                    <a:ln w="9525">
                      <a:noFill/>
                      <a:miter lim="800000"/>
                      <a:headEnd/>
                      <a:tailEnd/>
                    </a:ln>
                  </pic:spPr>
                </pic:pic>
              </a:graphicData>
            </a:graphic>
          </wp:inline>
        </w:drawing>
      </w:r>
      <w:r w:rsidR="00331B3E" w:rsidRPr="00B502A0">
        <w:rPr>
          <w:rFonts w:ascii="Georgia" w:hAnsi="Georgia"/>
        </w:rPr>
        <w:t xml:space="preserve"> Exhibit 1.</w:t>
      </w:r>
    </w:p>
    <w:p w:rsidR="00A20577" w:rsidRDefault="00A20577" w:rsidP="00B502A0">
      <w:pPr>
        <w:pStyle w:val="NormalWeb"/>
        <w:ind w:left="1080"/>
        <w:rPr>
          <w:rFonts w:ascii="Georgia" w:hAnsi="Georgia"/>
          <w:color w:val="auto"/>
          <w:sz w:val="24"/>
          <w:szCs w:val="24"/>
        </w:rPr>
      </w:pPr>
      <w:r>
        <w:rPr>
          <w:rFonts w:ascii="Georgia" w:hAnsi="Georgia"/>
          <w:bCs/>
        </w:rPr>
        <w:tab/>
      </w:r>
      <w:r w:rsidRPr="00A20577">
        <w:rPr>
          <w:rFonts w:ascii="Georgia" w:hAnsi="Georgia"/>
          <w:bCs/>
          <w:sz w:val="24"/>
          <w:szCs w:val="24"/>
        </w:rPr>
        <w:t xml:space="preserve">Debra reported that </w:t>
      </w:r>
      <w:r w:rsidRPr="00A20577">
        <w:rPr>
          <w:rFonts w:ascii="Georgia" w:hAnsi="Georgia" w:cstheme="minorHAnsi"/>
          <w:color w:val="auto"/>
          <w:sz w:val="24"/>
          <w:szCs w:val="24"/>
        </w:rPr>
        <w:t>in the previous case sampling, completed four years ago, there was a reported</w:t>
      </w:r>
      <w:r w:rsidRPr="00A20577">
        <w:rPr>
          <w:rFonts w:ascii="Georgia" w:hAnsi="Georgia"/>
          <w:color w:val="auto"/>
          <w:sz w:val="24"/>
          <w:szCs w:val="24"/>
        </w:rPr>
        <w:t xml:space="preserve"> 274 orders reviewed in eleven counties.</w:t>
      </w:r>
    </w:p>
    <w:p w:rsidR="00F63651" w:rsidRDefault="00F63651" w:rsidP="00B502A0">
      <w:pPr>
        <w:pStyle w:val="NormalWeb"/>
        <w:numPr>
          <w:ilvl w:val="1"/>
          <w:numId w:val="32"/>
        </w:numPr>
        <w:rPr>
          <w:rFonts w:ascii="Georgia" w:hAnsi="Georgia"/>
          <w:color w:val="auto"/>
          <w:sz w:val="24"/>
          <w:szCs w:val="24"/>
        </w:rPr>
        <w:sectPr w:rsidR="00F63651" w:rsidSect="00E649A0">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pPr>
    </w:p>
    <w:p w:rsidR="002D49DD" w:rsidRPr="002D49DD" w:rsidRDefault="002D49DD" w:rsidP="00B502A0">
      <w:pPr>
        <w:pStyle w:val="NormalWeb"/>
        <w:numPr>
          <w:ilvl w:val="1"/>
          <w:numId w:val="32"/>
        </w:numPr>
        <w:rPr>
          <w:rFonts w:ascii="Georgia" w:hAnsi="Georgia" w:cstheme="minorHAnsi"/>
          <w:strike/>
          <w:sz w:val="24"/>
          <w:szCs w:val="24"/>
        </w:rPr>
      </w:pPr>
      <w:r w:rsidRPr="002D49DD">
        <w:rPr>
          <w:rFonts w:ascii="Georgia" w:hAnsi="Georgia"/>
          <w:color w:val="auto"/>
          <w:sz w:val="24"/>
          <w:szCs w:val="24"/>
        </w:rPr>
        <w:lastRenderedPageBreak/>
        <w:t xml:space="preserve">In addition, </w:t>
      </w:r>
      <w:r w:rsidRPr="002D49DD">
        <w:rPr>
          <w:rFonts w:ascii="Georgia" w:hAnsi="Georgia" w:cstheme="minorHAnsi"/>
          <w:sz w:val="24"/>
          <w:szCs w:val="24"/>
        </w:rPr>
        <w:t>thirty-one percent (31%) or 83 orders had one or more deviations noted.  There were a total of 103 deviations for the 83 orders.</w:t>
      </w:r>
    </w:p>
    <w:p w:rsidR="002D49DD" w:rsidRPr="002D49DD" w:rsidRDefault="002D49DD" w:rsidP="00B502A0">
      <w:pPr>
        <w:pStyle w:val="NormalWeb"/>
        <w:ind w:left="1440"/>
        <w:rPr>
          <w:rFonts w:ascii="Georgia" w:hAnsi="Georgia"/>
          <w:color w:val="auto"/>
          <w:sz w:val="24"/>
          <w:szCs w:val="24"/>
        </w:rPr>
      </w:pPr>
      <w:r w:rsidRPr="002D49DD">
        <w:rPr>
          <w:rFonts w:ascii="Georgia" w:hAnsi="Georgia" w:cstheme="minorHAnsi"/>
          <w:color w:val="auto"/>
          <w:sz w:val="24"/>
          <w:szCs w:val="24"/>
        </w:rPr>
        <w:t>In the previous cas</w:t>
      </w:r>
      <w:r w:rsidR="00F049CB">
        <w:rPr>
          <w:rFonts w:ascii="Georgia" w:hAnsi="Georgia" w:cstheme="minorHAnsi"/>
          <w:color w:val="auto"/>
          <w:sz w:val="24"/>
          <w:szCs w:val="24"/>
        </w:rPr>
        <w:t>e sampling</w:t>
      </w:r>
      <w:r w:rsidRPr="002D49DD">
        <w:rPr>
          <w:rFonts w:ascii="Georgia" w:hAnsi="Georgia" w:cstheme="minorHAnsi"/>
          <w:color w:val="auto"/>
          <w:sz w:val="24"/>
          <w:szCs w:val="24"/>
        </w:rPr>
        <w:t>,</w:t>
      </w:r>
      <w:r w:rsidRPr="002D49DD">
        <w:rPr>
          <w:rFonts w:ascii="Georgia" w:hAnsi="Georgia"/>
          <w:color w:val="auto"/>
          <w:sz w:val="24"/>
          <w:szCs w:val="24"/>
        </w:rPr>
        <w:t xml:space="preserve"> forty-one percent (41%) of the orders reviewed had a deviation noted.</w:t>
      </w:r>
      <w:r w:rsidR="00331B3E">
        <w:rPr>
          <w:rFonts w:ascii="Georgia" w:hAnsi="Georgia"/>
          <w:color w:val="auto"/>
          <w:sz w:val="24"/>
          <w:szCs w:val="24"/>
        </w:rPr>
        <w:t xml:space="preserve"> [See Exhibit</w:t>
      </w:r>
      <w:r w:rsidR="00F049CB">
        <w:rPr>
          <w:rFonts w:ascii="Georgia" w:hAnsi="Georgia"/>
          <w:color w:val="auto"/>
          <w:sz w:val="24"/>
          <w:szCs w:val="24"/>
        </w:rPr>
        <w:t>s</w:t>
      </w:r>
      <w:r w:rsidR="00331B3E">
        <w:rPr>
          <w:rFonts w:ascii="Georgia" w:hAnsi="Georgia"/>
          <w:color w:val="auto"/>
          <w:sz w:val="24"/>
          <w:szCs w:val="24"/>
        </w:rPr>
        <w:t xml:space="preserve"> 2</w:t>
      </w:r>
      <w:r w:rsidR="00F049CB">
        <w:rPr>
          <w:rFonts w:ascii="Georgia" w:hAnsi="Georgia"/>
          <w:color w:val="auto"/>
          <w:sz w:val="24"/>
          <w:szCs w:val="24"/>
        </w:rPr>
        <w:t xml:space="preserve"> and 3 on next page</w:t>
      </w:r>
      <w:r w:rsidR="00331B3E">
        <w:rPr>
          <w:rFonts w:ascii="Georgia" w:hAnsi="Georgia"/>
          <w:color w:val="auto"/>
          <w:sz w:val="24"/>
          <w:szCs w:val="24"/>
        </w:rPr>
        <w:t>]</w:t>
      </w:r>
    </w:p>
    <w:p w:rsidR="002D49DD" w:rsidRPr="002D49DD" w:rsidRDefault="0056318B" w:rsidP="002D49DD">
      <w:pPr>
        <w:pStyle w:val="NormalWeb"/>
        <w:spacing w:line="480" w:lineRule="auto"/>
        <w:ind w:left="1440"/>
        <w:rPr>
          <w:rFonts w:ascii="Georgia" w:hAnsi="Georgia"/>
          <w:color w:val="auto"/>
          <w:sz w:val="24"/>
          <w:szCs w:val="24"/>
        </w:rPr>
      </w:pPr>
      <w:r w:rsidRPr="0056318B">
        <w:rPr>
          <w:rFonts w:ascii="Georgia" w:hAnsi="Georgia"/>
          <w:noProof/>
          <w:color w:val="auto"/>
          <w:sz w:val="24"/>
          <w:szCs w:val="24"/>
        </w:rPr>
        <w:drawing>
          <wp:inline distT="0" distB="0" distL="0" distR="0">
            <wp:extent cx="2448362" cy="2763639"/>
            <wp:effectExtent l="19050" t="0" r="9088"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452399" cy="2768195"/>
                    </a:xfrm>
                    <a:prstGeom prst="rect">
                      <a:avLst/>
                    </a:prstGeom>
                    <a:noFill/>
                    <a:ln w="9525">
                      <a:noFill/>
                      <a:miter lim="800000"/>
                      <a:headEnd/>
                      <a:tailEnd/>
                    </a:ln>
                  </pic:spPr>
                </pic:pic>
              </a:graphicData>
            </a:graphic>
          </wp:inline>
        </w:drawing>
      </w:r>
      <w:r>
        <w:rPr>
          <w:rFonts w:ascii="Georgia" w:hAnsi="Georgia"/>
          <w:color w:val="auto"/>
          <w:sz w:val="24"/>
          <w:szCs w:val="24"/>
        </w:rPr>
        <w:t xml:space="preserve"> Exhibit 2.</w:t>
      </w:r>
    </w:p>
    <w:p w:rsidR="007C3212" w:rsidRPr="002D49DD" w:rsidRDefault="004945EC" w:rsidP="00EE68CF">
      <w:pPr>
        <w:autoSpaceDE w:val="0"/>
        <w:autoSpaceDN w:val="0"/>
        <w:adjustRightInd w:val="0"/>
        <w:ind w:firstLine="720"/>
        <w:rPr>
          <w:rFonts w:ascii="Georgia" w:hAnsi="Georgia"/>
          <w:bCs/>
        </w:rPr>
      </w:pPr>
      <w:r w:rsidRPr="004945EC">
        <w:rPr>
          <w:rFonts w:ascii="Georgia" w:hAnsi="Georgia"/>
          <w:bCs/>
          <w:noProof/>
        </w:rPr>
        <w:drawing>
          <wp:inline distT="0" distB="0" distL="0" distR="0">
            <wp:extent cx="5220871" cy="3875649"/>
            <wp:effectExtent l="1905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220871" cy="3875649"/>
                    </a:xfrm>
                    <a:prstGeom prst="rect">
                      <a:avLst/>
                    </a:prstGeom>
                    <a:noFill/>
                    <a:ln w="9525">
                      <a:noFill/>
                      <a:miter lim="800000"/>
                      <a:headEnd/>
                      <a:tailEnd/>
                    </a:ln>
                  </pic:spPr>
                </pic:pic>
              </a:graphicData>
            </a:graphic>
          </wp:inline>
        </w:drawing>
      </w:r>
    </w:p>
    <w:p w:rsidR="00AB1655" w:rsidRDefault="00AB1655" w:rsidP="00EE68CF">
      <w:pPr>
        <w:autoSpaceDE w:val="0"/>
        <w:autoSpaceDN w:val="0"/>
        <w:adjustRightInd w:val="0"/>
        <w:ind w:firstLine="720"/>
        <w:rPr>
          <w:rFonts w:ascii="Georgia" w:hAnsi="Georgia"/>
          <w:bCs/>
        </w:rPr>
        <w:sectPr w:rsidR="00AB1655" w:rsidSect="00AB1655">
          <w:pgSz w:w="12240" w:h="15840"/>
          <w:pgMar w:top="1440" w:right="1440" w:bottom="1008" w:left="1440" w:header="720" w:footer="720" w:gutter="0"/>
          <w:cols w:space="720"/>
          <w:docGrid w:linePitch="360"/>
        </w:sectPr>
      </w:pPr>
    </w:p>
    <w:p w:rsidR="007C3212" w:rsidRDefault="00AB1655" w:rsidP="00EE68CF">
      <w:pPr>
        <w:autoSpaceDE w:val="0"/>
        <w:autoSpaceDN w:val="0"/>
        <w:adjustRightInd w:val="0"/>
        <w:ind w:firstLine="720"/>
        <w:rPr>
          <w:rFonts w:ascii="Georgia" w:hAnsi="Georgia"/>
          <w:bCs/>
        </w:rPr>
      </w:pPr>
      <w:r>
        <w:rPr>
          <w:rFonts w:ascii="Georgia" w:hAnsi="Georgia"/>
          <w:bCs/>
        </w:rPr>
        <w:lastRenderedPageBreak/>
        <w:t>Exhibit 3</w:t>
      </w:r>
    </w:p>
    <w:p w:rsidR="004D610D" w:rsidRPr="004D610D" w:rsidRDefault="004D610D" w:rsidP="004D610D">
      <w:pPr>
        <w:pStyle w:val="NormalWeb"/>
        <w:numPr>
          <w:ilvl w:val="1"/>
          <w:numId w:val="32"/>
        </w:numPr>
        <w:rPr>
          <w:rFonts w:ascii="Georgia" w:hAnsi="Georgia" w:cstheme="minorHAnsi"/>
          <w:sz w:val="24"/>
          <w:szCs w:val="24"/>
        </w:rPr>
      </w:pPr>
      <w:r w:rsidRPr="004D610D">
        <w:rPr>
          <w:rFonts w:ascii="Georgia" w:hAnsi="Georgia" w:cstheme="minorHAnsi"/>
          <w:sz w:val="24"/>
          <w:szCs w:val="24"/>
        </w:rPr>
        <w:lastRenderedPageBreak/>
        <w:t xml:space="preserve">Eighty-three percent </w:t>
      </w:r>
      <w:r w:rsidR="00973C46">
        <w:rPr>
          <w:rFonts w:ascii="Georgia" w:hAnsi="Georgia" w:cstheme="minorHAnsi"/>
          <w:sz w:val="24"/>
          <w:szCs w:val="24"/>
        </w:rPr>
        <w:t xml:space="preserve">(83%) </w:t>
      </w:r>
      <w:r w:rsidRPr="004D610D">
        <w:rPr>
          <w:rFonts w:ascii="Georgia" w:hAnsi="Georgia" w:cstheme="minorHAnsi"/>
          <w:sz w:val="24"/>
          <w:szCs w:val="24"/>
        </w:rPr>
        <w:t xml:space="preserve">or 69 orders of the deviated cases were set as downward deviations.  “Other – Nonspecific deviation” was used in </w:t>
      </w:r>
      <w:r w:rsidR="00973C46">
        <w:rPr>
          <w:rFonts w:ascii="Georgia" w:hAnsi="Georgia" w:cstheme="minorHAnsi"/>
          <w:sz w:val="24"/>
          <w:szCs w:val="24"/>
        </w:rPr>
        <w:t>forty-seven percent (</w:t>
      </w:r>
      <w:r w:rsidRPr="004D610D">
        <w:rPr>
          <w:rFonts w:ascii="Georgia" w:hAnsi="Georgia" w:cstheme="minorHAnsi"/>
          <w:sz w:val="24"/>
          <w:szCs w:val="24"/>
        </w:rPr>
        <w:t>47%</w:t>
      </w:r>
      <w:r w:rsidR="00973C46">
        <w:rPr>
          <w:rFonts w:ascii="Georgia" w:hAnsi="Georgia" w:cstheme="minorHAnsi"/>
          <w:sz w:val="24"/>
          <w:szCs w:val="24"/>
        </w:rPr>
        <w:t>)</w:t>
      </w:r>
      <w:r w:rsidRPr="004D610D">
        <w:rPr>
          <w:rFonts w:ascii="Georgia" w:hAnsi="Georgia" w:cstheme="minorHAnsi"/>
          <w:sz w:val="24"/>
          <w:szCs w:val="24"/>
        </w:rPr>
        <w:t xml:space="preserve"> of the deviated cases and low income deviations category was given for </w:t>
      </w:r>
      <w:r w:rsidR="00973C46">
        <w:rPr>
          <w:rFonts w:ascii="Georgia" w:hAnsi="Georgia" w:cstheme="minorHAnsi"/>
          <w:sz w:val="24"/>
          <w:szCs w:val="24"/>
        </w:rPr>
        <w:t>eighteen percent (</w:t>
      </w:r>
      <w:r w:rsidRPr="004D610D">
        <w:rPr>
          <w:rFonts w:ascii="Georgia" w:hAnsi="Georgia" w:cstheme="minorHAnsi"/>
          <w:sz w:val="24"/>
          <w:szCs w:val="24"/>
        </w:rPr>
        <w:t>18%</w:t>
      </w:r>
      <w:r w:rsidR="00973C46">
        <w:rPr>
          <w:rFonts w:ascii="Georgia" w:hAnsi="Georgia" w:cstheme="minorHAnsi"/>
          <w:sz w:val="24"/>
          <w:szCs w:val="24"/>
        </w:rPr>
        <w:t>)</w:t>
      </w:r>
      <w:r w:rsidRPr="004D610D">
        <w:rPr>
          <w:rFonts w:ascii="Georgia" w:hAnsi="Georgia" w:cstheme="minorHAnsi"/>
          <w:sz w:val="24"/>
          <w:szCs w:val="24"/>
        </w:rPr>
        <w:t xml:space="preserve"> of the deviated cases.</w:t>
      </w:r>
      <w:r w:rsidR="00F049CB">
        <w:rPr>
          <w:rFonts w:ascii="Georgia" w:hAnsi="Georgia" w:cstheme="minorHAnsi"/>
          <w:sz w:val="24"/>
          <w:szCs w:val="24"/>
        </w:rPr>
        <w:t xml:space="preserve"> [See Exhibit 3]</w:t>
      </w:r>
    </w:p>
    <w:p w:rsidR="004D610D" w:rsidRPr="004D610D" w:rsidRDefault="004D610D" w:rsidP="004D610D">
      <w:pPr>
        <w:pStyle w:val="NormalWeb"/>
        <w:ind w:left="1440"/>
        <w:rPr>
          <w:rFonts w:ascii="Georgia" w:hAnsi="Georgia"/>
          <w:color w:val="auto"/>
          <w:sz w:val="24"/>
          <w:szCs w:val="24"/>
        </w:rPr>
      </w:pPr>
      <w:r w:rsidRPr="004D610D">
        <w:rPr>
          <w:rFonts w:ascii="Georgia" w:hAnsi="Georgia"/>
          <w:color w:val="auto"/>
          <w:sz w:val="24"/>
          <w:szCs w:val="24"/>
        </w:rPr>
        <w:t xml:space="preserve">In the previous case sampling, </w:t>
      </w:r>
      <w:r w:rsidR="00973C46">
        <w:rPr>
          <w:rFonts w:ascii="Georgia" w:hAnsi="Georgia"/>
          <w:color w:val="auto"/>
          <w:sz w:val="24"/>
          <w:szCs w:val="24"/>
        </w:rPr>
        <w:t>ninety (</w:t>
      </w:r>
      <w:r w:rsidRPr="004D610D">
        <w:rPr>
          <w:rFonts w:ascii="Georgia" w:hAnsi="Georgia"/>
          <w:color w:val="auto"/>
          <w:sz w:val="24"/>
          <w:szCs w:val="24"/>
        </w:rPr>
        <w:t>90%</w:t>
      </w:r>
      <w:r w:rsidR="00973C46">
        <w:rPr>
          <w:rFonts w:ascii="Georgia" w:hAnsi="Georgia"/>
          <w:color w:val="auto"/>
          <w:sz w:val="24"/>
          <w:szCs w:val="24"/>
        </w:rPr>
        <w:t>)</w:t>
      </w:r>
      <w:r w:rsidRPr="004D610D">
        <w:rPr>
          <w:rFonts w:ascii="Georgia" w:hAnsi="Georgia"/>
          <w:color w:val="auto"/>
          <w:sz w:val="24"/>
          <w:szCs w:val="24"/>
        </w:rPr>
        <w:t xml:space="preserve"> were set as downward deviations.  Fifty-nine percent</w:t>
      </w:r>
      <w:r w:rsidR="00973C46">
        <w:rPr>
          <w:rFonts w:ascii="Georgia" w:hAnsi="Georgia"/>
          <w:color w:val="auto"/>
          <w:sz w:val="24"/>
          <w:szCs w:val="24"/>
        </w:rPr>
        <w:t xml:space="preserve"> (59%)</w:t>
      </w:r>
      <w:r w:rsidRPr="004D610D">
        <w:rPr>
          <w:rFonts w:ascii="Georgia" w:hAnsi="Georgia"/>
          <w:color w:val="auto"/>
          <w:sz w:val="24"/>
          <w:szCs w:val="24"/>
        </w:rPr>
        <w:t xml:space="preserve"> of those deviations were due to support obligations to other children; </w:t>
      </w:r>
      <w:r w:rsidR="00973C46">
        <w:rPr>
          <w:rFonts w:ascii="Georgia" w:hAnsi="Georgia"/>
          <w:color w:val="auto"/>
          <w:sz w:val="24"/>
          <w:szCs w:val="24"/>
        </w:rPr>
        <w:t xml:space="preserve">nine (9%) </w:t>
      </w:r>
      <w:r w:rsidRPr="004D610D">
        <w:rPr>
          <w:rFonts w:ascii="Georgia" w:hAnsi="Georgia"/>
          <w:color w:val="auto"/>
          <w:sz w:val="24"/>
          <w:szCs w:val="24"/>
        </w:rPr>
        <w:t xml:space="preserve">was due to the custodial parent’s income, and another </w:t>
      </w:r>
      <w:r w:rsidR="00973C46">
        <w:rPr>
          <w:rFonts w:ascii="Georgia" w:hAnsi="Georgia"/>
          <w:color w:val="auto"/>
          <w:sz w:val="24"/>
          <w:szCs w:val="24"/>
        </w:rPr>
        <w:t>nine (</w:t>
      </w:r>
      <w:r w:rsidRPr="004D610D">
        <w:rPr>
          <w:rFonts w:ascii="Georgia" w:hAnsi="Georgia"/>
          <w:color w:val="auto"/>
          <w:sz w:val="24"/>
          <w:szCs w:val="24"/>
        </w:rPr>
        <w:t>9%</w:t>
      </w:r>
      <w:r w:rsidR="00973C46">
        <w:rPr>
          <w:rFonts w:ascii="Georgia" w:hAnsi="Georgia"/>
          <w:color w:val="auto"/>
          <w:sz w:val="24"/>
          <w:szCs w:val="24"/>
        </w:rPr>
        <w:t>)</w:t>
      </w:r>
      <w:r w:rsidRPr="004D610D">
        <w:rPr>
          <w:rFonts w:ascii="Georgia" w:hAnsi="Georgia"/>
          <w:color w:val="auto"/>
          <w:sz w:val="24"/>
          <w:szCs w:val="24"/>
        </w:rPr>
        <w:t xml:space="preserve"> was due to accident or sickness insurance for the dependents.</w:t>
      </w:r>
    </w:p>
    <w:p w:rsidR="004D610D" w:rsidRDefault="004D610D" w:rsidP="004D610D">
      <w:pPr>
        <w:pStyle w:val="NormalWeb"/>
        <w:ind w:left="1440"/>
        <w:rPr>
          <w:rFonts w:ascii="Georgia" w:hAnsi="Georgia"/>
          <w:color w:val="auto"/>
          <w:sz w:val="24"/>
          <w:szCs w:val="24"/>
        </w:rPr>
      </w:pPr>
      <w:r w:rsidRPr="00973C46">
        <w:rPr>
          <w:rFonts w:ascii="Georgia" w:hAnsi="Georgia"/>
          <w:color w:val="auto"/>
          <w:sz w:val="24"/>
          <w:szCs w:val="24"/>
        </w:rPr>
        <w:t xml:space="preserve">"Support obligations to other children" is now referenced as adjusted income in the new guidelines. </w:t>
      </w:r>
      <w:r w:rsidR="00995523">
        <w:rPr>
          <w:rFonts w:ascii="Georgia" w:hAnsi="Georgia"/>
          <w:color w:val="auto"/>
          <w:sz w:val="24"/>
          <w:szCs w:val="24"/>
        </w:rPr>
        <w:t xml:space="preserve"> </w:t>
      </w:r>
      <w:r w:rsidRPr="00973C46">
        <w:rPr>
          <w:rFonts w:ascii="Georgia" w:hAnsi="Georgia"/>
          <w:color w:val="auto"/>
          <w:sz w:val="24"/>
          <w:szCs w:val="24"/>
        </w:rPr>
        <w:t xml:space="preserve">The previous case sampling was conducted under the former Child Support Guidelines. </w:t>
      </w:r>
      <w:r w:rsidR="00995523">
        <w:rPr>
          <w:rFonts w:ascii="Georgia" w:hAnsi="Georgia"/>
          <w:color w:val="auto"/>
          <w:sz w:val="24"/>
          <w:szCs w:val="24"/>
        </w:rPr>
        <w:t xml:space="preserve"> </w:t>
      </w:r>
      <w:r w:rsidRPr="00973C46">
        <w:rPr>
          <w:rFonts w:ascii="Georgia" w:hAnsi="Georgia"/>
          <w:color w:val="auto"/>
          <w:sz w:val="24"/>
          <w:szCs w:val="24"/>
        </w:rPr>
        <w:t xml:space="preserve">For this current case sampling a total of 57 cases showed adjusted income, and included all reasons, qualified other children, preexisting orders, and self-employment income. </w:t>
      </w:r>
      <w:r w:rsidR="00995523">
        <w:rPr>
          <w:rFonts w:ascii="Georgia" w:hAnsi="Georgia"/>
          <w:color w:val="auto"/>
          <w:sz w:val="24"/>
          <w:szCs w:val="24"/>
        </w:rPr>
        <w:t xml:space="preserve"> </w:t>
      </w:r>
      <w:r w:rsidRPr="00973C46">
        <w:rPr>
          <w:rFonts w:ascii="Georgia" w:hAnsi="Georgia"/>
          <w:color w:val="auto"/>
          <w:sz w:val="24"/>
          <w:szCs w:val="24"/>
        </w:rPr>
        <w:t xml:space="preserve">Of these 57 cases, 26 of them, 10% of all cases included qualifying other children, 28 (10%) cases involved preexisting orders, and seven cases (3%) involved self-employment income. </w:t>
      </w:r>
      <w:r w:rsidR="00995523">
        <w:rPr>
          <w:rFonts w:ascii="Georgia" w:hAnsi="Georgia"/>
          <w:color w:val="auto"/>
          <w:sz w:val="24"/>
          <w:szCs w:val="24"/>
        </w:rPr>
        <w:t xml:space="preserve"> </w:t>
      </w:r>
      <w:r w:rsidRPr="00973C46">
        <w:rPr>
          <w:rFonts w:ascii="Georgia" w:hAnsi="Georgia"/>
          <w:color w:val="auto"/>
          <w:sz w:val="24"/>
          <w:szCs w:val="24"/>
        </w:rPr>
        <w:t>Note that these conditions overlapped in some cases.</w:t>
      </w:r>
    </w:p>
    <w:p w:rsidR="00973C46" w:rsidRPr="00973C46" w:rsidRDefault="00973C46" w:rsidP="00973C46">
      <w:pPr>
        <w:pStyle w:val="NormalWeb"/>
        <w:numPr>
          <w:ilvl w:val="1"/>
          <w:numId w:val="32"/>
        </w:numPr>
        <w:rPr>
          <w:rFonts w:ascii="Georgia" w:hAnsi="Georgia" w:cstheme="minorHAnsi"/>
          <w:sz w:val="24"/>
          <w:szCs w:val="24"/>
        </w:rPr>
      </w:pPr>
      <w:r w:rsidRPr="00973C46">
        <w:rPr>
          <w:rFonts w:ascii="Georgia" w:hAnsi="Georgia" w:cstheme="minorHAnsi"/>
          <w:sz w:val="24"/>
          <w:szCs w:val="24"/>
        </w:rPr>
        <w:t xml:space="preserve">The average adjusted income was $3,317.18 for both parents in Title IV-D cases. </w:t>
      </w:r>
      <w:r w:rsidR="00995523">
        <w:rPr>
          <w:rFonts w:ascii="Georgia" w:hAnsi="Georgia" w:cstheme="minorHAnsi"/>
          <w:sz w:val="24"/>
          <w:szCs w:val="24"/>
        </w:rPr>
        <w:t xml:space="preserve"> </w:t>
      </w:r>
      <w:r w:rsidRPr="00973C46">
        <w:rPr>
          <w:rFonts w:ascii="Georgia" w:hAnsi="Georgia" w:cstheme="minorHAnsi"/>
          <w:sz w:val="24"/>
          <w:szCs w:val="24"/>
        </w:rPr>
        <w:t>In contrast</w:t>
      </w:r>
      <w:r w:rsidR="009015F4">
        <w:rPr>
          <w:rFonts w:ascii="Georgia" w:hAnsi="Georgia" w:cstheme="minorHAnsi"/>
          <w:sz w:val="24"/>
          <w:szCs w:val="24"/>
        </w:rPr>
        <w:t xml:space="preserve"> with </w:t>
      </w:r>
      <w:r w:rsidRPr="00973C46">
        <w:rPr>
          <w:rFonts w:ascii="Georgia" w:hAnsi="Georgia" w:cstheme="minorHAnsi"/>
          <w:sz w:val="24"/>
          <w:szCs w:val="24"/>
        </w:rPr>
        <w:t xml:space="preserve">non Title IV-D cases (private cases), the average adjusted income was $5,712.00 for both parents.  </w:t>
      </w:r>
      <w:r w:rsidRPr="00973C46">
        <w:rPr>
          <w:rFonts w:ascii="Georgia" w:hAnsi="Georgia"/>
          <w:color w:val="auto"/>
          <w:sz w:val="24"/>
          <w:szCs w:val="24"/>
        </w:rPr>
        <w:t>In the previous case sampling, 52% of the Title IV-D cases reflected that the average income was at minimum wage to $1500.</w:t>
      </w:r>
      <w:r w:rsidRPr="00973C46">
        <w:rPr>
          <w:rFonts w:ascii="Georgia" w:hAnsi="Georgia"/>
          <w:sz w:val="24"/>
          <w:szCs w:val="24"/>
        </w:rPr>
        <w:t xml:space="preserve">  In contrast, 34% of the non-IV-D cases’ income was $3501 or more.</w:t>
      </w:r>
    </w:p>
    <w:p w:rsidR="00751FF1" w:rsidRPr="00EC3C3F" w:rsidRDefault="00D53032" w:rsidP="00751FF1">
      <w:pPr>
        <w:pStyle w:val="NormalWeb"/>
        <w:numPr>
          <w:ilvl w:val="1"/>
          <w:numId w:val="32"/>
        </w:numPr>
        <w:rPr>
          <w:rFonts w:ascii="Georgia" w:hAnsi="Georgia" w:cstheme="minorHAnsi"/>
          <w:color w:val="auto"/>
          <w:sz w:val="24"/>
          <w:szCs w:val="24"/>
        </w:rPr>
      </w:pPr>
      <w:r w:rsidRPr="007D376D">
        <w:rPr>
          <w:rFonts w:ascii="Georgia" w:hAnsi="Georgia" w:cstheme="minorHAnsi"/>
          <w:sz w:val="24"/>
          <w:szCs w:val="24"/>
        </w:rPr>
        <w:t xml:space="preserve">There </w:t>
      </w:r>
      <w:r>
        <w:rPr>
          <w:rFonts w:ascii="Georgia" w:hAnsi="Georgia" w:cstheme="minorHAnsi"/>
          <w:sz w:val="24"/>
          <w:szCs w:val="24"/>
        </w:rPr>
        <w:t>were</w:t>
      </w:r>
      <w:r w:rsidRPr="007D376D">
        <w:rPr>
          <w:rFonts w:ascii="Georgia" w:hAnsi="Georgia" w:cstheme="minorHAnsi"/>
          <w:sz w:val="24"/>
          <w:szCs w:val="24"/>
        </w:rPr>
        <w:t xml:space="preserve"> a total of 401 children involved in the 267 cases. </w:t>
      </w:r>
      <w:r>
        <w:rPr>
          <w:rFonts w:ascii="Georgia" w:hAnsi="Georgia" w:cstheme="minorHAnsi"/>
          <w:sz w:val="24"/>
          <w:szCs w:val="24"/>
        </w:rPr>
        <w:t xml:space="preserve"> </w:t>
      </w:r>
      <w:r w:rsidRPr="007D376D">
        <w:rPr>
          <w:rFonts w:ascii="Georgia" w:hAnsi="Georgia" w:cstheme="minorHAnsi"/>
          <w:sz w:val="24"/>
          <w:szCs w:val="24"/>
        </w:rPr>
        <w:t xml:space="preserve">The maximum number of children involved in any case was four. </w:t>
      </w:r>
      <w:r>
        <w:rPr>
          <w:rFonts w:ascii="Georgia" w:hAnsi="Georgia" w:cstheme="minorHAnsi"/>
          <w:sz w:val="24"/>
          <w:szCs w:val="24"/>
        </w:rPr>
        <w:t xml:space="preserve"> </w:t>
      </w:r>
      <w:r w:rsidRPr="007D376D">
        <w:rPr>
          <w:rFonts w:ascii="Georgia" w:hAnsi="Georgia" w:cstheme="minorHAnsi"/>
          <w:sz w:val="24"/>
          <w:szCs w:val="24"/>
        </w:rPr>
        <w:t>Gwinnett had three private ca</w:t>
      </w:r>
      <w:r>
        <w:rPr>
          <w:rFonts w:ascii="Georgia" w:hAnsi="Georgia" w:cstheme="minorHAnsi"/>
          <w:sz w:val="24"/>
          <w:szCs w:val="24"/>
        </w:rPr>
        <w:t xml:space="preserve">ses with four children involved; no other county had </w:t>
      </w:r>
      <w:r w:rsidR="009015F4">
        <w:rPr>
          <w:rFonts w:ascii="Georgia" w:hAnsi="Georgia" w:cstheme="minorHAnsi"/>
          <w:sz w:val="24"/>
          <w:szCs w:val="24"/>
        </w:rPr>
        <w:t>four-child</w:t>
      </w:r>
      <w:r>
        <w:rPr>
          <w:rFonts w:ascii="Georgia" w:hAnsi="Georgia" w:cstheme="minorHAnsi"/>
          <w:sz w:val="24"/>
          <w:szCs w:val="24"/>
        </w:rPr>
        <w:t xml:space="preserve"> cases.  </w:t>
      </w:r>
      <w:r w:rsidR="00751FF1">
        <w:rPr>
          <w:rFonts w:ascii="Georgia" w:hAnsi="Georgia" w:cstheme="minorHAnsi"/>
          <w:sz w:val="24"/>
          <w:szCs w:val="24"/>
        </w:rPr>
        <w:t>The chart below shows the percentage of cases that involved “X” number of children and the average, minimum, and maximum child support award (“CSA”).</w:t>
      </w:r>
    </w:p>
    <w:p w:rsidR="00973C46" w:rsidRPr="002B5473" w:rsidRDefault="00041909" w:rsidP="003C400D">
      <w:pPr>
        <w:pStyle w:val="NormalWeb"/>
        <w:ind w:left="1440"/>
        <w:rPr>
          <w:rFonts w:ascii="Georgia" w:hAnsi="Georgia"/>
          <w:color w:val="auto"/>
          <w:sz w:val="24"/>
          <w:szCs w:val="24"/>
        </w:rPr>
      </w:pPr>
      <w:r>
        <w:rPr>
          <w:rFonts w:ascii="Georgia" w:hAnsi="Georgia"/>
          <w:color w:val="auto"/>
          <w:sz w:val="24"/>
          <w:szCs w:val="24"/>
        </w:rPr>
      </w:r>
      <w:r>
        <w:rPr>
          <w:rFonts w:ascii="Georgia" w:hAnsi="Georgia"/>
          <w:color w:val="auto"/>
          <w:sz w:val="24"/>
          <w:szCs w:val="24"/>
        </w:rPr>
        <w:pict>
          <v:group id="_x0000_s1028" editas="canvas" style="width:446.65pt;height:124.3pt;mso-position-horizontal-relative:char;mso-position-vertical-relative:line" coordorigin="-8,-8" coordsize="8933,248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top:-8;width:8933;height:2486" o:preferrelative="f">
              <v:fill o:detectmouseclick="t"/>
              <v:path o:extrusionok="t" o:connecttype="none"/>
              <o:lock v:ext="edit" text="t"/>
            </v:shape>
            <v:rect id="_x0000_s1029" style="position:absolute;left:348;top:802;width:82;height:195;mso-wrap-style:none;v-text-anchor:top" filled="f" stroked="f">
              <v:textbox style="mso-fit-shape-to-text:t" inset="0,0,0,0">
                <w:txbxContent>
                  <w:p w:rsidR="008763B1" w:rsidRDefault="008763B1">
                    <w:r>
                      <w:rPr>
                        <w:rFonts w:ascii="Calibri" w:hAnsi="Calibri" w:cs="Calibri"/>
                        <w:color w:val="000000"/>
                        <w:sz w:val="16"/>
                        <w:szCs w:val="16"/>
                      </w:rPr>
                      <w:t>1</w:t>
                    </w:r>
                  </w:p>
                </w:txbxContent>
              </v:textbox>
            </v:rect>
            <v:rect id="_x0000_s1030" style="position:absolute;left:1021;top:802;width:277;height:195;mso-wrap-style:none;v-text-anchor:top" filled="f" stroked="f">
              <v:textbox style="mso-fit-shape-to-text:t" inset="0,0,0,0">
                <w:txbxContent>
                  <w:p w:rsidR="008763B1" w:rsidRDefault="008763B1">
                    <w:r>
                      <w:rPr>
                        <w:rFonts w:ascii="Calibri" w:hAnsi="Calibri" w:cs="Calibri"/>
                        <w:color w:val="000000"/>
                        <w:sz w:val="16"/>
                        <w:szCs w:val="16"/>
                      </w:rPr>
                      <w:t>63%</w:t>
                    </w:r>
                  </w:p>
                </w:txbxContent>
              </v:textbox>
            </v:rect>
            <v:rect id="_x0000_s1031" style="position:absolute;left:1606;top:802;width:672;height:195;mso-wrap-style:none;v-text-anchor:top" filled="f" stroked="f">
              <v:textbox style="mso-fit-shape-to-text:t" inset="0,0,0,0">
                <w:txbxContent>
                  <w:p w:rsidR="008763B1" w:rsidRDefault="008763B1">
                    <w:r>
                      <w:rPr>
                        <w:rFonts w:ascii="Calibri" w:hAnsi="Calibri" w:cs="Calibri"/>
                        <w:color w:val="000000"/>
                        <w:sz w:val="16"/>
                        <w:szCs w:val="16"/>
                      </w:rPr>
                      <w:t xml:space="preserve"> $   306.49 </w:t>
                    </w:r>
                  </w:p>
                </w:txbxContent>
              </v:textbox>
            </v:rect>
            <v:rect id="_x0000_s1032" style="position:absolute;left:2374;top:802;width:736;height:195;mso-wrap-style:none;v-text-anchor:top" filled="f" stroked="f">
              <v:textbox style="mso-fit-shape-to-text:t" inset="0,0,0,0">
                <w:txbxContent>
                  <w:p w:rsidR="008763B1" w:rsidRDefault="008763B1">
                    <w:r>
                      <w:rPr>
                        <w:rFonts w:ascii="Calibri" w:hAnsi="Calibri" w:cs="Calibri"/>
                        <w:color w:val="000000"/>
                        <w:sz w:val="16"/>
                        <w:szCs w:val="16"/>
                      </w:rPr>
                      <w:t xml:space="preserve"> $       71.00 </w:t>
                    </w:r>
                  </w:p>
                </w:txbxContent>
              </v:textbox>
            </v:rect>
            <v:rect id="_x0000_s1033" style="position:absolute;left:3220;top:802;width:744;height:195;mso-wrap-style:none;v-text-anchor:top" filled="f" stroked="f">
              <v:textbox style="mso-fit-shape-to-text:t" inset="0,0,0,0">
                <w:txbxContent>
                  <w:p w:rsidR="008763B1" w:rsidRDefault="008763B1">
                    <w:r>
                      <w:rPr>
                        <w:rFonts w:ascii="Calibri" w:hAnsi="Calibri" w:cs="Calibri"/>
                        <w:color w:val="000000"/>
                        <w:sz w:val="16"/>
                        <w:szCs w:val="16"/>
                      </w:rPr>
                      <w:t xml:space="preserve"> $     800.00 </w:t>
                    </w:r>
                  </w:p>
                </w:txbxContent>
              </v:textbox>
            </v:rect>
            <v:rect id="_x0000_s1034" style="position:absolute;left:4067;top:802;width:672;height:195;mso-wrap-style:none;v-text-anchor:top" filled="f" stroked="f">
              <v:textbox style="mso-fit-shape-to-text:t" inset="0,0,0,0">
                <w:txbxContent>
                  <w:p w:rsidR="008763B1" w:rsidRDefault="008763B1">
                    <w:r>
                      <w:rPr>
                        <w:rFonts w:ascii="Calibri" w:hAnsi="Calibri" w:cs="Calibri"/>
                        <w:color w:val="000000"/>
                        <w:sz w:val="16"/>
                        <w:szCs w:val="16"/>
                      </w:rPr>
                      <w:t xml:space="preserve"> $   437.86 </w:t>
                    </w:r>
                  </w:p>
                </w:txbxContent>
              </v:textbox>
            </v:rect>
            <v:rect id="_x0000_s1035" style="position:absolute;left:5230;top:802;width:365;height:195;mso-wrap-style:none;v-text-anchor:top" filled="f" stroked="f">
              <v:textbox style="mso-fit-shape-to-text:t" inset="0,0,0,0">
                <w:txbxContent>
                  <w:p w:rsidR="008763B1" w:rsidRDefault="008763B1">
                    <w:r>
                      <w:rPr>
                        <w:rFonts w:ascii="Calibri" w:hAnsi="Calibri" w:cs="Calibri"/>
                        <w:color w:val="000000"/>
                        <w:sz w:val="16"/>
                        <w:szCs w:val="16"/>
                      </w:rPr>
                      <w:t xml:space="preserve">$0.00 </w:t>
                    </w:r>
                  </w:p>
                </w:txbxContent>
              </v:textbox>
            </v:rect>
            <v:rect id="_x0000_s1036" style="position:absolute;left:5681;top:802;width:757;height:195;mso-wrap-style:none;v-text-anchor:top" filled="f" stroked="f">
              <v:textbox style="mso-fit-shape-to-text:t" inset="0,0,0,0">
                <w:txbxContent>
                  <w:p w:rsidR="008763B1" w:rsidRDefault="008763B1">
                    <w:r>
                      <w:rPr>
                        <w:rFonts w:ascii="Calibri" w:hAnsi="Calibri" w:cs="Calibri"/>
                        <w:color w:val="000000"/>
                        <w:sz w:val="16"/>
                        <w:szCs w:val="16"/>
                      </w:rPr>
                      <w:t xml:space="preserve"> $  1,400.00 </w:t>
                    </w:r>
                  </w:p>
                </w:txbxContent>
              </v:textbox>
            </v:rect>
            <v:rect id="_x0000_s1037" style="position:absolute;left:6528;top:802;width:672;height:195;mso-wrap-style:none;v-text-anchor:top" filled="f" stroked="f">
              <v:textbox style="mso-fit-shape-to-text:t" inset="0,0,0,0">
                <w:txbxContent>
                  <w:p w:rsidR="008763B1" w:rsidRDefault="008763B1">
                    <w:r>
                      <w:rPr>
                        <w:rFonts w:ascii="Calibri" w:hAnsi="Calibri" w:cs="Calibri"/>
                        <w:color w:val="000000"/>
                        <w:sz w:val="16"/>
                        <w:szCs w:val="16"/>
                      </w:rPr>
                      <w:t xml:space="preserve"> $   379.65 </w:t>
                    </w:r>
                  </w:p>
                </w:txbxContent>
              </v:textbox>
            </v:rect>
            <v:rect id="_x0000_s1038" style="position:absolute;left:7691;top:802;width:365;height:195;mso-wrap-style:none;v-text-anchor:top" filled="f" stroked="f">
              <v:textbox style="mso-fit-shape-to-text:t" inset="0,0,0,0">
                <w:txbxContent>
                  <w:p w:rsidR="008763B1" w:rsidRDefault="008763B1">
                    <w:r>
                      <w:rPr>
                        <w:rFonts w:ascii="Calibri" w:hAnsi="Calibri" w:cs="Calibri"/>
                        <w:color w:val="000000"/>
                        <w:sz w:val="16"/>
                        <w:szCs w:val="16"/>
                      </w:rPr>
                      <w:t xml:space="preserve">$0.00 </w:t>
                    </w:r>
                  </w:p>
                </w:txbxContent>
              </v:textbox>
            </v:rect>
            <v:rect id="_x0000_s1039" style="position:absolute;left:8142;top:802;width:757;height:195;mso-wrap-style:none;v-text-anchor:top" filled="f" stroked="f">
              <v:textbox style="mso-fit-shape-to-text:t" inset="0,0,0,0">
                <w:txbxContent>
                  <w:p w:rsidR="008763B1" w:rsidRDefault="008763B1">
                    <w:r>
                      <w:rPr>
                        <w:rFonts w:ascii="Calibri" w:hAnsi="Calibri" w:cs="Calibri"/>
                        <w:color w:val="000000"/>
                        <w:sz w:val="16"/>
                        <w:szCs w:val="16"/>
                      </w:rPr>
                      <w:t xml:space="preserve"> $  1,400.00 </w:t>
                    </w:r>
                  </w:p>
                </w:txbxContent>
              </v:textbox>
            </v:rect>
            <v:rect id="_x0000_s1040" style="position:absolute;left:348;top:1017;width:82;height:195;mso-wrap-style:none;v-text-anchor:top" filled="f" stroked="f">
              <v:textbox style="mso-fit-shape-to-text:t" inset="0,0,0,0">
                <w:txbxContent>
                  <w:p w:rsidR="008763B1" w:rsidRDefault="008763B1">
                    <w:r>
                      <w:rPr>
                        <w:rFonts w:ascii="Calibri" w:hAnsi="Calibri" w:cs="Calibri"/>
                        <w:color w:val="000000"/>
                        <w:sz w:val="16"/>
                        <w:szCs w:val="16"/>
                      </w:rPr>
                      <w:t>2</w:t>
                    </w:r>
                  </w:p>
                </w:txbxContent>
              </v:textbox>
            </v:rect>
            <v:rect id="_x0000_s1041" style="position:absolute;left:1021;top:1017;width:277;height:195;mso-wrap-style:none;v-text-anchor:top" filled="f" stroked="f">
              <v:textbox style="mso-fit-shape-to-text:t" inset="0,0,0,0">
                <w:txbxContent>
                  <w:p w:rsidR="008763B1" w:rsidRDefault="008763B1">
                    <w:r>
                      <w:rPr>
                        <w:rFonts w:ascii="Calibri" w:hAnsi="Calibri" w:cs="Calibri"/>
                        <w:color w:val="000000"/>
                        <w:sz w:val="16"/>
                        <w:szCs w:val="16"/>
                      </w:rPr>
                      <w:t>24%</w:t>
                    </w:r>
                  </w:p>
                </w:txbxContent>
              </v:textbox>
            </v:rect>
            <v:rect id="_x0000_s1042" style="position:absolute;left:1606;top:1017;width:672;height:195;mso-wrap-style:none;v-text-anchor:top" filled="f" stroked="f">
              <v:textbox style="mso-fit-shape-to-text:t" inset="0,0,0,0">
                <w:txbxContent>
                  <w:p w:rsidR="008763B1" w:rsidRDefault="008763B1">
                    <w:r>
                      <w:rPr>
                        <w:rFonts w:ascii="Calibri" w:hAnsi="Calibri" w:cs="Calibri"/>
                        <w:color w:val="000000"/>
                        <w:sz w:val="16"/>
                        <w:szCs w:val="16"/>
                      </w:rPr>
                      <w:t xml:space="preserve"> $   542.06 </w:t>
                    </w:r>
                  </w:p>
                </w:txbxContent>
              </v:textbox>
            </v:rect>
            <v:rect id="_x0000_s1043" style="position:absolute;left:2374;top:1017;width:744;height:195;mso-wrap-style:none;v-text-anchor:top" filled="f" stroked="f">
              <v:textbox style="mso-fit-shape-to-text:t" inset="0,0,0,0">
                <w:txbxContent>
                  <w:p w:rsidR="008763B1" w:rsidRDefault="008763B1">
                    <w:r>
                      <w:rPr>
                        <w:rFonts w:ascii="Calibri" w:hAnsi="Calibri" w:cs="Calibri"/>
                        <w:color w:val="000000"/>
                        <w:sz w:val="16"/>
                        <w:szCs w:val="16"/>
                      </w:rPr>
                      <w:t xml:space="preserve"> $     250.00 </w:t>
                    </w:r>
                  </w:p>
                </w:txbxContent>
              </v:textbox>
            </v:rect>
            <v:rect id="_x0000_s1044" style="position:absolute;left:3220;top:1017;width:757;height:195;mso-wrap-style:none;v-text-anchor:top" filled="f" stroked="f">
              <v:textbox style="mso-fit-shape-to-text:t" inset="0,0,0,0">
                <w:txbxContent>
                  <w:p w:rsidR="008763B1" w:rsidRDefault="008763B1">
                    <w:r>
                      <w:rPr>
                        <w:rFonts w:ascii="Calibri" w:hAnsi="Calibri" w:cs="Calibri"/>
                        <w:color w:val="000000"/>
                        <w:sz w:val="16"/>
                        <w:szCs w:val="16"/>
                      </w:rPr>
                      <w:t xml:space="preserve"> $  1,234.00 </w:t>
                    </w:r>
                  </w:p>
                </w:txbxContent>
              </v:textbox>
            </v:rect>
            <v:rect id="_x0000_s1045" style="position:absolute;left:4067;top:1017;width:672;height:195;mso-wrap-style:none;v-text-anchor:top" filled="f" stroked="f">
              <v:textbox style="mso-fit-shape-to-text:t" inset="0,0,0,0">
                <w:txbxContent>
                  <w:p w:rsidR="008763B1" w:rsidRDefault="008763B1">
                    <w:r>
                      <w:rPr>
                        <w:rFonts w:ascii="Calibri" w:hAnsi="Calibri" w:cs="Calibri"/>
                        <w:color w:val="000000"/>
                        <w:sz w:val="16"/>
                        <w:szCs w:val="16"/>
                      </w:rPr>
                      <w:t xml:space="preserve"> $   716.35 </w:t>
                    </w:r>
                  </w:p>
                </w:txbxContent>
              </v:textbox>
            </v:rect>
            <v:rect id="_x0000_s1046" style="position:absolute;left:5230;top:1017;width:365;height:195;mso-wrap-style:none;v-text-anchor:top" filled="f" stroked="f">
              <v:textbox style="mso-fit-shape-to-text:t" inset="0,0,0,0">
                <w:txbxContent>
                  <w:p w:rsidR="008763B1" w:rsidRDefault="008763B1">
                    <w:r>
                      <w:rPr>
                        <w:rFonts w:ascii="Calibri" w:hAnsi="Calibri" w:cs="Calibri"/>
                        <w:color w:val="000000"/>
                        <w:sz w:val="16"/>
                        <w:szCs w:val="16"/>
                      </w:rPr>
                      <w:t xml:space="preserve">$0.00 </w:t>
                    </w:r>
                  </w:p>
                </w:txbxContent>
              </v:textbox>
            </v:rect>
            <v:rect id="_x0000_s1047" style="position:absolute;left:5681;top:1017;width:757;height:195;mso-wrap-style:none;v-text-anchor:top" filled="f" stroked="f">
              <v:textbox style="mso-fit-shape-to-text:t" inset="0,0,0,0">
                <w:txbxContent>
                  <w:p w:rsidR="008763B1" w:rsidRDefault="008763B1">
                    <w:r>
                      <w:rPr>
                        <w:rFonts w:ascii="Calibri" w:hAnsi="Calibri" w:cs="Calibri"/>
                        <w:color w:val="000000"/>
                        <w:sz w:val="16"/>
                        <w:szCs w:val="16"/>
                      </w:rPr>
                      <w:t xml:space="preserve"> $  2,029.18 </w:t>
                    </w:r>
                  </w:p>
                </w:txbxContent>
              </v:textbox>
            </v:rect>
            <v:rect id="_x0000_s1048" style="position:absolute;left:6528;top:1017;width:672;height:195;mso-wrap-style:none;v-text-anchor:top" filled="f" stroked="f">
              <v:textbox style="mso-fit-shape-to-text:t" inset="0,0,0,0">
                <w:txbxContent>
                  <w:p w:rsidR="008763B1" w:rsidRDefault="008763B1">
                    <w:r>
                      <w:rPr>
                        <w:rFonts w:ascii="Calibri" w:hAnsi="Calibri" w:cs="Calibri"/>
                        <w:color w:val="000000"/>
                        <w:sz w:val="16"/>
                        <w:szCs w:val="16"/>
                      </w:rPr>
                      <w:t xml:space="preserve"> $   670.77 </w:t>
                    </w:r>
                  </w:p>
                </w:txbxContent>
              </v:textbox>
            </v:rect>
            <v:rect id="_x0000_s1049" style="position:absolute;left:7691;top:1017;width:365;height:195;mso-wrap-style:none;v-text-anchor:top" filled="f" stroked="f">
              <v:textbox style="mso-fit-shape-to-text:t" inset="0,0,0,0">
                <w:txbxContent>
                  <w:p w:rsidR="008763B1" w:rsidRDefault="008763B1">
                    <w:r>
                      <w:rPr>
                        <w:rFonts w:ascii="Calibri" w:hAnsi="Calibri" w:cs="Calibri"/>
                        <w:color w:val="000000"/>
                        <w:sz w:val="16"/>
                        <w:szCs w:val="16"/>
                      </w:rPr>
                      <w:t xml:space="preserve">$0.00 </w:t>
                    </w:r>
                  </w:p>
                </w:txbxContent>
              </v:textbox>
            </v:rect>
            <v:rect id="_x0000_s1050" style="position:absolute;left:8142;top:1017;width:757;height:195;mso-wrap-style:none;v-text-anchor:top" filled="f" stroked="f">
              <v:textbox style="mso-fit-shape-to-text:t" inset="0,0,0,0">
                <w:txbxContent>
                  <w:p w:rsidR="008763B1" w:rsidRDefault="008763B1">
                    <w:r>
                      <w:rPr>
                        <w:rFonts w:ascii="Calibri" w:hAnsi="Calibri" w:cs="Calibri"/>
                        <w:color w:val="000000"/>
                        <w:sz w:val="16"/>
                        <w:szCs w:val="16"/>
                      </w:rPr>
                      <w:t xml:space="preserve"> $  2,029.18 </w:t>
                    </w:r>
                  </w:p>
                </w:txbxContent>
              </v:textbox>
            </v:rect>
            <v:rect id="_x0000_s1051" style="position:absolute;left:348;top:1231;width:82;height:195;mso-wrap-style:none;v-text-anchor:top" filled="f" stroked="f">
              <v:textbox style="mso-fit-shape-to-text:t" inset="0,0,0,0">
                <w:txbxContent>
                  <w:p w:rsidR="008763B1" w:rsidRDefault="008763B1">
                    <w:r>
                      <w:rPr>
                        <w:rFonts w:ascii="Calibri" w:hAnsi="Calibri" w:cs="Calibri"/>
                        <w:color w:val="000000"/>
                        <w:sz w:val="16"/>
                        <w:szCs w:val="16"/>
                      </w:rPr>
                      <w:t>3</w:t>
                    </w:r>
                  </w:p>
                </w:txbxContent>
              </v:textbox>
            </v:rect>
            <v:rect id="_x0000_s1052" style="position:absolute;left:1021;top:1231;width:277;height:195;mso-wrap-style:none;v-text-anchor:top" filled="f" stroked="f">
              <v:textbox style="mso-fit-shape-to-text:t" inset="0,0,0,0">
                <w:txbxContent>
                  <w:p w:rsidR="008763B1" w:rsidRDefault="008763B1">
                    <w:r>
                      <w:rPr>
                        <w:rFonts w:ascii="Calibri" w:hAnsi="Calibri" w:cs="Calibri"/>
                        <w:color w:val="000000"/>
                        <w:sz w:val="16"/>
                        <w:szCs w:val="16"/>
                      </w:rPr>
                      <w:t>12%</w:t>
                    </w:r>
                  </w:p>
                </w:txbxContent>
              </v:textbox>
            </v:rect>
            <v:rect id="_x0000_s1053" style="position:absolute;left:1606;top:1231;width:672;height:195;mso-wrap-style:none;v-text-anchor:top" filled="f" stroked="f">
              <v:textbox style="mso-fit-shape-to-text:t" inset="0,0,0,0">
                <w:txbxContent>
                  <w:p w:rsidR="008763B1" w:rsidRDefault="008763B1">
                    <w:r>
                      <w:rPr>
                        <w:rFonts w:ascii="Calibri" w:hAnsi="Calibri" w:cs="Calibri"/>
                        <w:color w:val="000000"/>
                        <w:sz w:val="16"/>
                        <w:szCs w:val="16"/>
                      </w:rPr>
                      <w:t xml:space="preserve"> $   480.22 </w:t>
                    </w:r>
                  </w:p>
                </w:txbxContent>
              </v:textbox>
            </v:rect>
            <v:rect id="_x0000_s1054" style="position:absolute;left:2374;top:1231;width:744;height:195;mso-wrap-style:none;v-text-anchor:top" filled="f" stroked="f">
              <v:textbox style="mso-fit-shape-to-text:t" inset="0,0,0,0">
                <w:txbxContent>
                  <w:p w:rsidR="008763B1" w:rsidRDefault="008763B1">
                    <w:r>
                      <w:rPr>
                        <w:rFonts w:ascii="Calibri" w:hAnsi="Calibri" w:cs="Calibri"/>
                        <w:color w:val="000000"/>
                        <w:sz w:val="16"/>
                        <w:szCs w:val="16"/>
                      </w:rPr>
                      <w:t xml:space="preserve"> $     300.00 </w:t>
                    </w:r>
                  </w:p>
                </w:txbxContent>
              </v:textbox>
            </v:rect>
            <v:rect id="_x0000_s1055" style="position:absolute;left:3220;top:1231;width:744;height:195;mso-wrap-style:none;v-text-anchor:top" filled="f" stroked="f">
              <v:textbox style="mso-fit-shape-to-text:t" inset="0,0,0,0">
                <w:txbxContent>
                  <w:p w:rsidR="008763B1" w:rsidRDefault="008763B1">
                    <w:r>
                      <w:rPr>
                        <w:rFonts w:ascii="Calibri" w:hAnsi="Calibri" w:cs="Calibri"/>
                        <w:color w:val="000000"/>
                        <w:sz w:val="16"/>
                        <w:szCs w:val="16"/>
                      </w:rPr>
                      <w:t xml:space="preserve"> $     943.00 </w:t>
                    </w:r>
                  </w:p>
                </w:txbxContent>
              </v:textbox>
            </v:rect>
            <v:rect id="_x0000_s1056" style="position:absolute;left:4067;top:1231;width:672;height:195;mso-wrap-style:none;v-text-anchor:top" filled="f" stroked="f">
              <v:textbox style="mso-fit-shape-to-text:t" inset="0,0,0,0">
                <w:txbxContent>
                  <w:p w:rsidR="008763B1" w:rsidRDefault="008763B1">
                    <w:r>
                      <w:rPr>
                        <w:rFonts w:ascii="Calibri" w:hAnsi="Calibri" w:cs="Calibri"/>
                        <w:color w:val="000000"/>
                        <w:sz w:val="16"/>
                        <w:szCs w:val="16"/>
                      </w:rPr>
                      <w:t xml:space="preserve"> $   929.06 </w:t>
                    </w:r>
                  </w:p>
                </w:txbxContent>
              </v:textbox>
            </v:rect>
            <v:rect id="_x0000_s1057" style="position:absolute;left:4834;top:1231;width:736;height:195;mso-wrap-style:none;v-text-anchor:top" filled="f" stroked="f">
              <v:textbox style="mso-fit-shape-to-text:t" inset="0,0,0,0">
                <w:txbxContent>
                  <w:p w:rsidR="008763B1" w:rsidRDefault="008763B1">
                    <w:r>
                      <w:rPr>
                        <w:rFonts w:ascii="Calibri" w:hAnsi="Calibri" w:cs="Calibri"/>
                        <w:color w:val="000000"/>
                        <w:sz w:val="16"/>
                        <w:szCs w:val="16"/>
                      </w:rPr>
                      <w:t xml:space="preserve"> $       75.00 </w:t>
                    </w:r>
                  </w:p>
                </w:txbxContent>
              </v:textbox>
            </v:rect>
            <v:rect id="_x0000_s1058" style="position:absolute;left:5681;top:1231;width:757;height:195;mso-wrap-style:none;v-text-anchor:top" filled="f" stroked="f">
              <v:textbox style="mso-fit-shape-to-text:t" inset="0,0,0,0">
                <w:txbxContent>
                  <w:p w:rsidR="008763B1" w:rsidRDefault="008763B1">
                    <w:r>
                      <w:rPr>
                        <w:rFonts w:ascii="Calibri" w:hAnsi="Calibri" w:cs="Calibri"/>
                        <w:color w:val="000000"/>
                        <w:sz w:val="16"/>
                        <w:szCs w:val="16"/>
                      </w:rPr>
                      <w:t xml:space="preserve"> $  3,100.00 </w:t>
                    </w:r>
                  </w:p>
                </w:txbxContent>
              </v:textbox>
            </v:rect>
            <v:rect id="_x0000_s1059" style="position:absolute;left:6528;top:1231;width:672;height:195;mso-wrap-style:none;v-text-anchor:top" filled="f" stroked="f">
              <v:textbox style="mso-fit-shape-to-text:t" inset="0,0,0,0">
                <w:txbxContent>
                  <w:p w:rsidR="008763B1" w:rsidRDefault="008763B1">
                    <w:r>
                      <w:rPr>
                        <w:rFonts w:ascii="Calibri" w:hAnsi="Calibri" w:cs="Calibri"/>
                        <w:color w:val="000000"/>
                        <w:sz w:val="16"/>
                        <w:szCs w:val="16"/>
                      </w:rPr>
                      <w:t xml:space="preserve"> $   798.75 </w:t>
                    </w:r>
                  </w:p>
                </w:txbxContent>
              </v:textbox>
            </v:rect>
            <v:rect id="_x0000_s1060" style="position:absolute;left:7295;top:1231;width:736;height:195;mso-wrap-style:none;v-text-anchor:top" filled="f" stroked="f">
              <v:textbox style="mso-fit-shape-to-text:t" inset="0,0,0,0">
                <w:txbxContent>
                  <w:p w:rsidR="008763B1" w:rsidRDefault="008763B1">
                    <w:r>
                      <w:rPr>
                        <w:rFonts w:ascii="Calibri" w:hAnsi="Calibri" w:cs="Calibri"/>
                        <w:color w:val="000000"/>
                        <w:sz w:val="16"/>
                        <w:szCs w:val="16"/>
                      </w:rPr>
                      <w:t xml:space="preserve"> $       75.00 </w:t>
                    </w:r>
                  </w:p>
                </w:txbxContent>
              </v:textbox>
            </v:rect>
            <v:rect id="_x0000_s1061" style="position:absolute;left:8142;top:1231;width:757;height:195;mso-wrap-style:none;v-text-anchor:top" filled="f" stroked="f">
              <v:textbox style="mso-fit-shape-to-text:t" inset="0,0,0,0">
                <w:txbxContent>
                  <w:p w:rsidR="008763B1" w:rsidRDefault="008763B1">
                    <w:r>
                      <w:rPr>
                        <w:rFonts w:ascii="Calibri" w:hAnsi="Calibri" w:cs="Calibri"/>
                        <w:color w:val="000000"/>
                        <w:sz w:val="16"/>
                        <w:szCs w:val="16"/>
                      </w:rPr>
                      <w:t xml:space="preserve"> $  3,100.00 </w:t>
                    </w:r>
                  </w:p>
                </w:txbxContent>
              </v:textbox>
            </v:rect>
            <v:rect id="_x0000_s1062" style="position:absolute;left:348;top:1445;width:82;height:195;mso-wrap-style:none;v-text-anchor:top" filled="f" stroked="f">
              <v:textbox style="mso-fit-shape-to-text:t" inset="0,0,0,0">
                <w:txbxContent>
                  <w:p w:rsidR="008763B1" w:rsidRDefault="008763B1">
                    <w:r>
                      <w:rPr>
                        <w:rFonts w:ascii="Calibri" w:hAnsi="Calibri" w:cs="Calibri"/>
                        <w:color w:val="000000"/>
                        <w:sz w:val="16"/>
                        <w:szCs w:val="16"/>
                      </w:rPr>
                      <w:t>4</w:t>
                    </w:r>
                  </w:p>
                </w:txbxContent>
              </v:textbox>
            </v:rect>
            <v:rect id="_x0000_s1063" style="position:absolute;left:1060;top:1445;width:196;height:195;mso-wrap-style:none;v-text-anchor:top" filled="f" stroked="f">
              <v:textbox style="mso-fit-shape-to-text:t" inset="0,0,0,0">
                <w:txbxContent>
                  <w:p w:rsidR="008763B1" w:rsidRDefault="008763B1">
                    <w:r>
                      <w:rPr>
                        <w:rFonts w:ascii="Calibri" w:hAnsi="Calibri" w:cs="Calibri"/>
                        <w:color w:val="000000"/>
                        <w:sz w:val="16"/>
                        <w:szCs w:val="16"/>
                      </w:rPr>
                      <w:t>1%</w:t>
                    </w:r>
                  </w:p>
                </w:txbxContent>
              </v:textbox>
            </v:rect>
            <v:rect id="_x0000_s1064" style="position:absolute;left:1717;top:1445;width:414;height:195;mso-wrap-style:none;v-text-anchor:top" filled="f" stroked="f">
              <v:textbox style="mso-fit-shape-to-text:t" inset="0,0,0,0">
                <w:txbxContent>
                  <w:p w:rsidR="008763B1" w:rsidRDefault="008763B1">
                    <w:r>
                      <w:rPr>
                        <w:rFonts w:ascii="Calibri" w:hAnsi="Calibri" w:cs="Calibri"/>
                        <w:color w:val="000000"/>
                        <w:sz w:val="16"/>
                        <w:szCs w:val="16"/>
                      </w:rPr>
                      <w:t xml:space="preserve"> There </w:t>
                    </w:r>
                  </w:p>
                </w:txbxContent>
              </v:textbox>
            </v:rect>
            <v:rect id="_x0000_s1065" style="position:absolute;left:1654;top:1652;width:534;height:195;mso-wrap-style:none;v-text-anchor:top" filled="f" stroked="f">
              <v:textbox style="mso-fit-shape-to-text:t" inset="0,0,0,0">
                <w:txbxContent>
                  <w:p w:rsidR="008763B1" w:rsidRDefault="008763B1">
                    <w:r>
                      <w:rPr>
                        <w:rFonts w:ascii="Calibri" w:hAnsi="Calibri" w:cs="Calibri"/>
                        <w:color w:val="000000"/>
                        <w:sz w:val="16"/>
                        <w:szCs w:val="16"/>
                      </w:rPr>
                      <w:t xml:space="preserve">were no </w:t>
                    </w:r>
                  </w:p>
                </w:txbxContent>
              </v:textbox>
            </v:rect>
            <v:rect id="_x0000_s1066" style="position:absolute;left:1567;top:1858;width:717;height:195;mso-wrap-style:none;v-text-anchor:top" filled="f" stroked="f">
              <v:textbox style="mso-fit-shape-to-text:t" inset="0,0,0,0">
                <w:txbxContent>
                  <w:p w:rsidR="008763B1" w:rsidRDefault="008763B1">
                    <w:r>
                      <w:rPr>
                        <w:rFonts w:ascii="Calibri" w:hAnsi="Calibri" w:cs="Calibri"/>
                        <w:color w:val="000000"/>
                        <w:sz w:val="16"/>
                        <w:szCs w:val="16"/>
                      </w:rPr>
                      <w:t xml:space="preserve">DCSS cases </w:t>
                    </w:r>
                  </w:p>
                </w:txbxContent>
              </v:textbox>
            </v:rect>
            <v:rect id="_x0000_s1067" style="position:absolute;left:1717;top:2065;width:407;height:195;mso-wrap-style:none;v-text-anchor:top" filled="f" stroked="f">
              <v:textbox style="mso-fit-shape-to-text:t" inset="0,0,0,0">
                <w:txbxContent>
                  <w:p w:rsidR="008763B1" w:rsidRDefault="008763B1">
                    <w:r>
                      <w:rPr>
                        <w:rFonts w:ascii="Calibri" w:hAnsi="Calibri" w:cs="Calibri"/>
                        <w:color w:val="000000"/>
                        <w:sz w:val="16"/>
                        <w:szCs w:val="16"/>
                      </w:rPr>
                      <w:t xml:space="preserve">with 4 </w:t>
                    </w:r>
                  </w:p>
                </w:txbxContent>
              </v:textbox>
            </v:rect>
            <v:rect id="_x0000_s1068" style="position:absolute;left:1654;top:2271;width:529;height:195;mso-wrap-style:none;v-text-anchor:top" filled="f" stroked="f">
              <v:textbox style="mso-fit-shape-to-text:t" inset="0,0,0,0">
                <w:txbxContent>
                  <w:p w:rsidR="008763B1" w:rsidRDefault="008763B1">
                    <w:r>
                      <w:rPr>
                        <w:rFonts w:ascii="Calibri" w:hAnsi="Calibri" w:cs="Calibri"/>
                        <w:color w:val="000000"/>
                        <w:sz w:val="16"/>
                        <w:szCs w:val="16"/>
                      </w:rPr>
                      <w:t xml:space="preserve">children </w:t>
                    </w:r>
                  </w:p>
                </w:txbxContent>
              </v:textbox>
            </v:rect>
            <v:rect id="_x0000_s1069" style="position:absolute;left:4067;top:1445;width:672;height:195;mso-wrap-style:none;v-text-anchor:top" filled="f" stroked="f">
              <v:textbox style="mso-fit-shape-to-text:t" inset="0,0,0,0">
                <w:txbxContent>
                  <w:p w:rsidR="008763B1" w:rsidRDefault="008763B1">
                    <w:r>
                      <w:rPr>
                        <w:rFonts w:ascii="Calibri" w:hAnsi="Calibri" w:cs="Calibri"/>
                        <w:color w:val="000000"/>
                        <w:sz w:val="16"/>
                        <w:szCs w:val="16"/>
                      </w:rPr>
                      <w:t xml:space="preserve"> $   987.00 </w:t>
                    </w:r>
                  </w:p>
                </w:txbxContent>
              </v:textbox>
            </v:rect>
            <v:rect id="_x0000_s1070" style="position:absolute;left:4834;top:1445;width:744;height:195;mso-wrap-style:none;v-text-anchor:top" filled="f" stroked="f">
              <v:textbox style="mso-fit-shape-to-text:t" inset="0,0,0,0">
                <w:txbxContent>
                  <w:p w:rsidR="008763B1" w:rsidRDefault="008763B1">
                    <w:r>
                      <w:rPr>
                        <w:rFonts w:ascii="Calibri" w:hAnsi="Calibri" w:cs="Calibri"/>
                        <w:color w:val="000000"/>
                        <w:sz w:val="16"/>
                        <w:szCs w:val="16"/>
                      </w:rPr>
                      <w:t xml:space="preserve"> $     791.62 </w:t>
                    </w:r>
                  </w:p>
                </w:txbxContent>
              </v:textbox>
            </v:rect>
            <v:rect id="_x0000_s1071" style="position:absolute;left:5681;top:1445;width:757;height:195;mso-wrap-style:none;v-text-anchor:top" filled="f" stroked="f">
              <v:textbox style="mso-fit-shape-to-text:t" inset="0,0,0,0">
                <w:txbxContent>
                  <w:p w:rsidR="008763B1" w:rsidRDefault="008763B1">
                    <w:r>
                      <w:rPr>
                        <w:rFonts w:ascii="Calibri" w:hAnsi="Calibri" w:cs="Calibri"/>
                        <w:color w:val="000000"/>
                        <w:sz w:val="16"/>
                        <w:szCs w:val="16"/>
                      </w:rPr>
                      <w:t xml:space="preserve"> $  1,169.43 </w:t>
                    </w:r>
                  </w:p>
                </w:txbxContent>
              </v:textbox>
            </v:rect>
            <v:rect id="_x0000_s1072" style="position:absolute;left:6528;top:1445;width:672;height:195;mso-wrap-style:none;v-text-anchor:top" filled="f" stroked="f">
              <v:textbox style="mso-fit-shape-to-text:t" inset="0,0,0,0">
                <w:txbxContent>
                  <w:p w:rsidR="008763B1" w:rsidRDefault="008763B1">
                    <w:r>
                      <w:rPr>
                        <w:rFonts w:ascii="Calibri" w:hAnsi="Calibri" w:cs="Calibri"/>
                        <w:color w:val="000000"/>
                        <w:sz w:val="16"/>
                        <w:szCs w:val="16"/>
                      </w:rPr>
                      <w:t xml:space="preserve"> $   987.00 </w:t>
                    </w:r>
                  </w:p>
                </w:txbxContent>
              </v:textbox>
            </v:rect>
            <v:rect id="_x0000_s1073" style="position:absolute;left:7295;top:1445;width:744;height:195;mso-wrap-style:none;v-text-anchor:top" filled="f" stroked="f">
              <v:textbox style="mso-fit-shape-to-text:t" inset="0,0,0,0">
                <w:txbxContent>
                  <w:p w:rsidR="008763B1" w:rsidRDefault="008763B1">
                    <w:r>
                      <w:rPr>
                        <w:rFonts w:ascii="Calibri" w:hAnsi="Calibri" w:cs="Calibri"/>
                        <w:color w:val="000000"/>
                        <w:sz w:val="16"/>
                        <w:szCs w:val="16"/>
                      </w:rPr>
                      <w:t xml:space="preserve"> $     791.62 </w:t>
                    </w:r>
                  </w:p>
                </w:txbxContent>
              </v:textbox>
            </v:rect>
            <v:rect id="_x0000_s1074" style="position:absolute;left:8142;top:1445;width:757;height:195;mso-wrap-style:none;v-text-anchor:top" filled="f" stroked="f">
              <v:textbox style="mso-fit-shape-to-text:t" inset="0,0,0,0">
                <w:txbxContent>
                  <w:p w:rsidR="008763B1" w:rsidRDefault="008763B1">
                    <w:r>
                      <w:rPr>
                        <w:rFonts w:ascii="Calibri" w:hAnsi="Calibri" w:cs="Calibri"/>
                        <w:color w:val="000000"/>
                        <w:sz w:val="16"/>
                        <w:szCs w:val="16"/>
                      </w:rPr>
                      <w:t xml:space="preserve"> $  1,169.43 </w:t>
                    </w:r>
                  </w:p>
                </w:txbxContent>
              </v:textbox>
            </v:rect>
            <v:rect id="_x0000_s1075" style="position:absolute;left:981;top:16;width:362;height:244;mso-wrap-style:none;v-text-anchor:top" filled="f" stroked="f">
              <v:textbox style="mso-fit-shape-to-text:t" inset="0,0,0,0">
                <w:txbxContent>
                  <w:p w:rsidR="008763B1" w:rsidRDefault="008763B1">
                    <w:r>
                      <w:rPr>
                        <w:rFonts w:ascii="Calibri" w:hAnsi="Calibri" w:cs="Calibri"/>
                        <w:b/>
                        <w:bCs/>
                        <w:color w:val="000000"/>
                        <w:sz w:val="20"/>
                        <w:szCs w:val="20"/>
                      </w:rPr>
                      <w:t xml:space="preserve">% of </w:t>
                    </w:r>
                  </w:p>
                </w:txbxContent>
              </v:textbox>
            </v:rect>
            <v:rect id="_x0000_s1076" style="position:absolute;left:878;top:262;width:566;height:244;mso-wrap-style:none;v-text-anchor:top" filled="f" stroked="f">
              <v:textbox style="mso-fit-shape-to-text:t" inset="0,0,0,0">
                <w:txbxContent>
                  <w:p w:rsidR="008763B1" w:rsidRDefault="008763B1">
                    <w:r>
                      <w:rPr>
                        <w:rFonts w:ascii="Calibri" w:hAnsi="Calibri" w:cs="Calibri"/>
                        <w:b/>
                        <w:bCs/>
                        <w:color w:val="000000"/>
                        <w:sz w:val="20"/>
                        <w:szCs w:val="20"/>
                      </w:rPr>
                      <w:t>Orders</w:t>
                    </w:r>
                  </w:p>
                </w:txbxContent>
              </v:textbox>
            </v:rect>
            <v:rect id="_x0000_s1077" style="position:absolute;left:1598;top:16;width:678;height:244;mso-wrap-style:none;v-text-anchor:top" filled="f" stroked="f">
              <v:textbox style="mso-fit-shape-to-text:t" inset="0,0,0,0">
                <w:txbxContent>
                  <w:p w:rsidR="008763B1" w:rsidRDefault="008763B1">
                    <w:r>
                      <w:rPr>
                        <w:rFonts w:ascii="Calibri" w:hAnsi="Calibri" w:cs="Calibri"/>
                        <w:b/>
                        <w:bCs/>
                        <w:color w:val="000000"/>
                        <w:sz w:val="20"/>
                        <w:szCs w:val="20"/>
                      </w:rPr>
                      <w:t xml:space="preserve">Avg CSA </w:t>
                    </w:r>
                  </w:p>
                </w:txbxContent>
              </v:textbox>
            </v:rect>
            <v:rect id="_x0000_s1078" style="position:absolute;left:1725;top:262;width:421;height:244;mso-wrap-style:none;v-text-anchor:top" filled="f" stroked="f">
              <v:textbox style="mso-fit-shape-to-text:t" inset="0,0,0,0">
                <w:txbxContent>
                  <w:p w:rsidR="008763B1" w:rsidRDefault="008763B1">
                    <w:r>
                      <w:rPr>
                        <w:rFonts w:ascii="Calibri" w:hAnsi="Calibri" w:cs="Calibri"/>
                        <w:b/>
                        <w:bCs/>
                        <w:color w:val="000000"/>
                        <w:sz w:val="20"/>
                        <w:szCs w:val="20"/>
                      </w:rPr>
                      <w:t xml:space="preserve">DCSS </w:t>
                    </w:r>
                  </w:p>
                </w:txbxContent>
              </v:textbox>
            </v:rect>
            <v:rect id="_x0000_s1079" style="position:absolute;left:1693;top:508;width:465;height:244;mso-wrap-style:none;v-text-anchor:top" filled="f" stroked="f">
              <v:textbox style="mso-fit-shape-to-text:t" inset="0,0,0,0">
                <w:txbxContent>
                  <w:p w:rsidR="008763B1" w:rsidRDefault="008763B1">
                    <w:r>
                      <w:rPr>
                        <w:rFonts w:ascii="Calibri" w:hAnsi="Calibri" w:cs="Calibri"/>
                        <w:b/>
                        <w:bCs/>
                        <w:color w:val="000000"/>
                        <w:sz w:val="20"/>
                        <w:szCs w:val="20"/>
                      </w:rPr>
                      <w:t>Cases</w:t>
                    </w:r>
                  </w:p>
                </w:txbxContent>
              </v:textbox>
            </v:rect>
            <v:rect id="_x0000_s1080" style="position:absolute;left:2350;top:16;width:798;height:244;mso-wrap-style:none;v-text-anchor:top" filled="f" stroked="f">
              <v:textbox style="mso-fit-shape-to-text:t" inset="0,0,0,0">
                <w:txbxContent>
                  <w:p w:rsidR="008763B1" w:rsidRDefault="008763B1">
                    <w:r>
                      <w:rPr>
                        <w:rFonts w:ascii="Calibri" w:hAnsi="Calibri" w:cs="Calibri"/>
                        <w:b/>
                        <w:bCs/>
                        <w:color w:val="000000"/>
                        <w:sz w:val="20"/>
                        <w:szCs w:val="20"/>
                      </w:rPr>
                      <w:t>Min DCSS</w:t>
                    </w:r>
                  </w:p>
                </w:txbxContent>
              </v:textbox>
            </v:rect>
            <v:rect id="_x0000_s1081" style="position:absolute;left:4186;top:16;width:411;height:244;mso-wrap-style:none;v-text-anchor:top" filled="f" stroked="f">
              <v:textbox style="mso-fit-shape-to-text:t" inset="0,0,0,0">
                <w:txbxContent>
                  <w:p w:rsidR="008763B1" w:rsidRDefault="008763B1">
                    <w:r>
                      <w:rPr>
                        <w:rFonts w:ascii="Calibri" w:hAnsi="Calibri" w:cs="Calibri"/>
                        <w:b/>
                        <w:bCs/>
                        <w:color w:val="000000"/>
                        <w:sz w:val="20"/>
                        <w:szCs w:val="20"/>
                      </w:rPr>
                      <w:t xml:space="preserve">*Avg </w:t>
                    </w:r>
                  </w:p>
                </w:txbxContent>
              </v:textbox>
            </v:rect>
            <v:rect id="_x0000_s1082" style="position:absolute;left:4225;top:262;width:322;height:244;mso-wrap-style:none;v-text-anchor:top" filled="f" stroked="f">
              <v:textbox style="mso-fit-shape-to-text:t" inset="0,0,0,0">
                <w:txbxContent>
                  <w:p w:rsidR="008763B1" w:rsidRDefault="008763B1">
                    <w:r>
                      <w:rPr>
                        <w:rFonts w:ascii="Calibri" w:hAnsi="Calibri" w:cs="Calibri"/>
                        <w:b/>
                        <w:bCs/>
                        <w:color w:val="000000"/>
                        <w:sz w:val="20"/>
                        <w:szCs w:val="20"/>
                      </w:rPr>
                      <w:t xml:space="preserve">CSA </w:t>
                    </w:r>
                  </w:p>
                </w:txbxContent>
              </v:textbox>
            </v:rect>
            <v:rect id="_x0000_s1083" style="position:absolute;left:4099;top:508;width:591;height:244;mso-wrap-style:none;v-text-anchor:top" filled="f" stroked="f">
              <v:textbox style="mso-fit-shape-to-text:t" inset="0,0,0,0">
                <w:txbxContent>
                  <w:p w:rsidR="008763B1" w:rsidRDefault="008763B1">
                    <w:r>
                      <w:rPr>
                        <w:rFonts w:ascii="Calibri" w:hAnsi="Calibri" w:cs="Calibri"/>
                        <w:b/>
                        <w:bCs/>
                        <w:color w:val="000000"/>
                        <w:sz w:val="20"/>
                        <w:szCs w:val="20"/>
                      </w:rPr>
                      <w:t xml:space="preserve">Private </w:t>
                    </w:r>
                  </w:p>
                </w:txbxContent>
              </v:textbox>
            </v:rect>
            <v:rect id="_x0000_s1085" style="position:absolute;left:5032;top:16;width:332;height:244;mso-wrap-style:none;v-text-anchor:top" filled="f" stroked="f">
              <v:textbox style="mso-fit-shape-to-text:t" inset="0,0,0,0">
                <w:txbxContent>
                  <w:p w:rsidR="008763B1" w:rsidRDefault="008763B1">
                    <w:r>
                      <w:rPr>
                        <w:rFonts w:ascii="Calibri" w:hAnsi="Calibri" w:cs="Calibri"/>
                        <w:b/>
                        <w:bCs/>
                        <w:color w:val="000000"/>
                        <w:sz w:val="20"/>
                        <w:szCs w:val="20"/>
                      </w:rPr>
                      <w:t xml:space="preserve">Min </w:t>
                    </w:r>
                  </w:p>
                </w:txbxContent>
              </v:textbox>
            </v:rect>
            <v:rect id="_x0000_s1086" style="position:absolute;left:4906;top:262;width:591;height:244;mso-wrap-style:none;v-text-anchor:top" filled="f" stroked="f">
              <v:textbox style="mso-fit-shape-to-text:t" inset="0,0,0,0">
                <w:txbxContent>
                  <w:p w:rsidR="008763B1" w:rsidRDefault="008763B1">
                    <w:r>
                      <w:rPr>
                        <w:rFonts w:ascii="Calibri" w:hAnsi="Calibri" w:cs="Calibri"/>
                        <w:b/>
                        <w:bCs/>
                        <w:color w:val="000000"/>
                        <w:sz w:val="20"/>
                        <w:szCs w:val="20"/>
                      </w:rPr>
                      <w:t>Private</w:t>
                    </w:r>
                  </w:p>
                </w:txbxContent>
              </v:textbox>
            </v:rect>
            <v:rect id="_x0000_s1087" style="position:absolute;left:6520;top:16;width:678;height:244;mso-wrap-style:none;v-text-anchor:top" filled="f" stroked="f">
              <v:textbox style="mso-fit-shape-to-text:t" inset="0,0,0,0">
                <w:txbxContent>
                  <w:p w:rsidR="008763B1" w:rsidRDefault="008763B1">
                    <w:r>
                      <w:rPr>
                        <w:rFonts w:ascii="Calibri" w:hAnsi="Calibri" w:cs="Calibri"/>
                        <w:b/>
                        <w:bCs/>
                        <w:color w:val="000000"/>
                        <w:sz w:val="20"/>
                        <w:szCs w:val="20"/>
                      </w:rPr>
                      <w:t xml:space="preserve">Avg CSA </w:t>
                    </w:r>
                  </w:p>
                </w:txbxContent>
              </v:textbox>
            </v:rect>
            <v:rect id="_x0000_s1088" style="position:absolute;left:6559;top:262;width:599;height:244;mso-wrap-style:none;v-text-anchor:top" filled="f" stroked="f">
              <v:textbox style="mso-fit-shape-to-text:t" inset="0,0,0,0">
                <w:txbxContent>
                  <w:p w:rsidR="008763B1" w:rsidRDefault="008763B1">
                    <w:r>
                      <w:rPr>
                        <w:rFonts w:ascii="Calibri" w:hAnsi="Calibri" w:cs="Calibri"/>
                        <w:b/>
                        <w:bCs/>
                        <w:color w:val="000000"/>
                        <w:sz w:val="20"/>
                        <w:szCs w:val="20"/>
                      </w:rPr>
                      <w:t>Overall</w:t>
                    </w:r>
                  </w:p>
                </w:txbxContent>
              </v:textbox>
            </v:rect>
            <v:rect id="_x0000_s1089" style="position:absolute;left:7493;top:16;width:332;height:244;mso-wrap-style:none;v-text-anchor:top" filled="f" stroked="f">
              <v:textbox style="mso-fit-shape-to-text:t" inset="0,0,0,0">
                <w:txbxContent>
                  <w:p w:rsidR="008763B1" w:rsidRDefault="008763B1">
                    <w:r>
                      <w:rPr>
                        <w:rFonts w:ascii="Calibri" w:hAnsi="Calibri" w:cs="Calibri"/>
                        <w:b/>
                        <w:bCs/>
                        <w:color w:val="000000"/>
                        <w:sz w:val="20"/>
                        <w:szCs w:val="20"/>
                      </w:rPr>
                      <w:t xml:space="preserve">Min </w:t>
                    </w:r>
                  </w:p>
                </w:txbxContent>
              </v:textbox>
            </v:rect>
            <v:rect id="_x0000_s1090" style="position:absolute;left:7366;top:262;width:599;height:244;mso-wrap-style:none;v-text-anchor:top" filled="f" stroked="f">
              <v:textbox style="mso-fit-shape-to-text:t" inset="0,0,0,0">
                <w:txbxContent>
                  <w:p w:rsidR="008763B1" w:rsidRDefault="008763B1">
                    <w:r>
                      <w:rPr>
                        <w:rFonts w:ascii="Calibri" w:hAnsi="Calibri" w:cs="Calibri"/>
                        <w:b/>
                        <w:bCs/>
                        <w:color w:val="000000"/>
                        <w:sz w:val="20"/>
                        <w:szCs w:val="20"/>
                      </w:rPr>
                      <w:t>Overall</w:t>
                    </w:r>
                  </w:p>
                </w:txbxContent>
              </v:textbox>
            </v:rect>
            <v:rect id="_x0000_s1091" style="position:absolute;left:3181;top:16;width:832;height:244;mso-wrap-style:none;v-text-anchor:top" filled="f" stroked="f">
              <v:textbox style="mso-fit-shape-to-text:t" inset="0,0,0,0">
                <w:txbxContent>
                  <w:p w:rsidR="008763B1" w:rsidRDefault="008763B1">
                    <w:r>
                      <w:rPr>
                        <w:rFonts w:ascii="Calibri" w:hAnsi="Calibri" w:cs="Calibri"/>
                        <w:b/>
                        <w:bCs/>
                        <w:color w:val="000000"/>
                        <w:sz w:val="20"/>
                        <w:szCs w:val="20"/>
                      </w:rPr>
                      <w:t>Max DCSS</w:t>
                    </w:r>
                  </w:p>
                </w:txbxContent>
              </v:textbox>
            </v:rect>
            <v:rect id="_x0000_s1092" style="position:absolute;left:5863;top:16;width:366;height:244;mso-wrap-style:none;v-text-anchor:top" filled="f" stroked="f">
              <v:textbox style="mso-fit-shape-to-text:t" inset="0,0,0,0">
                <w:txbxContent>
                  <w:p w:rsidR="008763B1" w:rsidRDefault="008763B1">
                    <w:r>
                      <w:rPr>
                        <w:rFonts w:ascii="Calibri" w:hAnsi="Calibri" w:cs="Calibri"/>
                        <w:b/>
                        <w:bCs/>
                        <w:color w:val="000000"/>
                        <w:sz w:val="20"/>
                        <w:szCs w:val="20"/>
                      </w:rPr>
                      <w:t xml:space="preserve">Max </w:t>
                    </w:r>
                  </w:p>
                </w:txbxContent>
              </v:textbox>
            </v:rect>
            <v:rect id="_x0000_s1093" style="position:absolute;left:5752;top:262;width:591;height:244;mso-wrap-style:none;v-text-anchor:top" filled="f" stroked="f">
              <v:textbox style="mso-fit-shape-to-text:t" inset="0,0,0,0">
                <w:txbxContent>
                  <w:p w:rsidR="008763B1" w:rsidRDefault="008763B1">
                    <w:r>
                      <w:rPr>
                        <w:rFonts w:ascii="Calibri" w:hAnsi="Calibri" w:cs="Calibri"/>
                        <w:b/>
                        <w:bCs/>
                        <w:color w:val="000000"/>
                        <w:sz w:val="20"/>
                        <w:szCs w:val="20"/>
                      </w:rPr>
                      <w:t>Private</w:t>
                    </w:r>
                  </w:p>
                </w:txbxContent>
              </v:textbox>
            </v:rect>
            <v:rect id="_x0000_s1094" style="position:absolute;left:8324;top:16;width:366;height:244;mso-wrap-style:none;v-text-anchor:top" filled="f" stroked="f">
              <v:textbox style="mso-fit-shape-to-text:t" inset="0,0,0,0">
                <w:txbxContent>
                  <w:p w:rsidR="008763B1" w:rsidRDefault="008763B1">
                    <w:r>
                      <w:rPr>
                        <w:rFonts w:ascii="Calibri" w:hAnsi="Calibri" w:cs="Calibri"/>
                        <w:b/>
                        <w:bCs/>
                        <w:color w:val="000000"/>
                        <w:sz w:val="20"/>
                        <w:szCs w:val="20"/>
                      </w:rPr>
                      <w:t xml:space="preserve">Max </w:t>
                    </w:r>
                  </w:p>
                </w:txbxContent>
              </v:textbox>
            </v:rect>
            <v:rect id="_x0000_s1095" style="position:absolute;left:8213;top:262;width:599;height:244;mso-wrap-style:none;v-text-anchor:top" filled="f" stroked="f">
              <v:textbox style="mso-fit-shape-to-text:t" inset="0,0,0,0">
                <w:txbxContent>
                  <w:p w:rsidR="008763B1" w:rsidRDefault="008763B1">
                    <w:r>
                      <w:rPr>
                        <w:rFonts w:ascii="Calibri" w:hAnsi="Calibri" w:cs="Calibri"/>
                        <w:b/>
                        <w:bCs/>
                        <w:color w:val="000000"/>
                        <w:sz w:val="20"/>
                        <w:szCs w:val="20"/>
                      </w:rPr>
                      <w:t>Overall</w:t>
                    </w:r>
                  </w:p>
                </w:txbxContent>
              </v:textbox>
            </v:rect>
            <v:rect id="_x0000_s1096" style="position:absolute;left:237;top:16;width:316;height:244;mso-wrap-style:none;v-text-anchor:top" filled="f" stroked="f">
              <v:textbox style="mso-fit-shape-to-text:t" inset="0,0,0,0">
                <w:txbxContent>
                  <w:p w:rsidR="008763B1" w:rsidRDefault="008763B1">
                    <w:r>
                      <w:rPr>
                        <w:rFonts w:ascii="Calibri" w:hAnsi="Calibri" w:cs="Calibri"/>
                        <w:b/>
                        <w:bCs/>
                        <w:color w:val="000000"/>
                        <w:sz w:val="20"/>
                        <w:szCs w:val="20"/>
                      </w:rPr>
                      <w:t xml:space="preserve"># of </w:t>
                    </w:r>
                  </w:p>
                </w:txbxContent>
              </v:textbox>
            </v:rect>
            <v:rect id="_x0000_s1097" style="position:absolute;left:47;top:262;width:698;height:244;mso-wrap-style:none;v-text-anchor:top" filled="f" stroked="f">
              <v:textbox style="mso-fit-shape-to-text:t" inset="0,0,0,0">
                <w:txbxContent>
                  <w:p w:rsidR="008763B1" w:rsidRDefault="008763B1">
                    <w:r>
                      <w:rPr>
                        <w:rFonts w:ascii="Calibri" w:hAnsi="Calibri" w:cs="Calibri"/>
                        <w:b/>
                        <w:bCs/>
                        <w:color w:val="000000"/>
                        <w:sz w:val="20"/>
                        <w:szCs w:val="20"/>
                      </w:rPr>
                      <w:t>Children</w:t>
                    </w:r>
                  </w:p>
                </w:txbxContent>
              </v:textbox>
            </v:rect>
            <v:rect id="_x0000_s1098" style="position:absolute;left:-8;top:-8;width:16;height:2486" fillcolor="black" stroked="f"/>
            <v:rect id="_x0000_s1099" style="position:absolute;left:760;top:8;width:15;height:2470" fillcolor="black" stroked="f"/>
            <v:rect id="_x0000_s1100" style="position:absolute;left:1527;top:8;width:16;height:2470" fillcolor="black" stroked="f"/>
            <v:rect id="_x0000_s1101" style="position:absolute;left:2295;top:8;width:15;height:2470" fillcolor="black" stroked="f"/>
            <v:rect id="_x0000_s1102" style="position:absolute;left:3141;top:8;width:16;height:2470" fillcolor="black" stroked="f"/>
            <v:rect id="_x0000_s1103" style="position:absolute;left:3988;top:8;width:16;height:2470" fillcolor="black" stroked="f"/>
            <v:rect id="_x0000_s1104" style="position:absolute;left:4755;top:8;width:16;height:2470" fillcolor="black" stroked="f"/>
            <v:rect id="_x0000_s1105" style="position:absolute;left:5602;top:8;width:16;height:2470" fillcolor="black" stroked="f"/>
            <v:rect id="_x0000_s1106" style="position:absolute;left:6448;top:8;width:16;height:2470" fillcolor="black" stroked="f"/>
            <v:rect id="_x0000_s1107" style="position:absolute;left:7216;top:8;width:16;height:2470" fillcolor="black" stroked="f"/>
            <v:rect id="_x0000_s1108" style="position:absolute;left:8063;top:8;width:15;height:2470" fillcolor="black" stroked="f"/>
            <v:rect id="_x0000_s1109" style="position:absolute;left:8909;top:8;width:16;height:2470" fillcolor="black" stroked="f"/>
            <v:rect id="_x0000_s1110" style="position:absolute;left:8;top:-8;width:8917;height:16" fillcolor="black" stroked="f"/>
            <v:rect id="_x0000_s1111" style="position:absolute;left:8;top:778;width:8917;height:16" fillcolor="black" stroked="f"/>
            <v:rect id="_x0000_s1112" style="position:absolute;left:8;top:993;width:8917;height:16" fillcolor="black" stroked="f"/>
            <v:rect id="_x0000_s1113" style="position:absolute;left:8;top:1207;width:8917;height:16" fillcolor="black" stroked="f"/>
            <v:rect id="_x0000_s1114" style="position:absolute;left:8;top:1422;width:8917;height:16" fillcolor="black" stroked="f"/>
            <v:rect id="_x0000_s1115" style="position:absolute;left:8;top:2462;width:8917;height:16" fillcolor="black" stroked="f"/>
            <w10:wrap type="none"/>
            <w10:anchorlock/>
          </v:group>
        </w:pict>
      </w:r>
    </w:p>
    <w:p w:rsidR="00D01A39" w:rsidRDefault="002B5473" w:rsidP="004748BE">
      <w:pPr>
        <w:pStyle w:val="NormalWeb"/>
        <w:ind w:firstLine="720"/>
        <w:rPr>
          <w:rFonts w:ascii="Georgia" w:hAnsi="Georgia" w:cstheme="minorHAnsi"/>
          <w:sz w:val="24"/>
          <w:szCs w:val="24"/>
        </w:rPr>
      </w:pPr>
      <w:r>
        <w:rPr>
          <w:rFonts w:ascii="Georgia" w:hAnsi="Georgia" w:cstheme="minorHAnsi"/>
          <w:sz w:val="24"/>
          <w:szCs w:val="24"/>
        </w:rPr>
        <w:lastRenderedPageBreak/>
        <w:t xml:space="preserve">Debra provided a handout </w:t>
      </w:r>
      <w:r w:rsidR="00CF7159">
        <w:rPr>
          <w:rFonts w:ascii="Georgia" w:hAnsi="Georgia" w:cstheme="minorHAnsi"/>
          <w:sz w:val="24"/>
          <w:szCs w:val="24"/>
        </w:rPr>
        <w:t xml:space="preserve">with more detailed analysis, and all of the analyses </w:t>
      </w:r>
      <w:r w:rsidR="009015F4">
        <w:rPr>
          <w:rFonts w:ascii="Georgia" w:hAnsi="Georgia" w:cstheme="minorHAnsi"/>
          <w:sz w:val="24"/>
          <w:szCs w:val="24"/>
        </w:rPr>
        <w:t>included will</w:t>
      </w:r>
      <w:r>
        <w:rPr>
          <w:rFonts w:ascii="Georgia" w:hAnsi="Georgia" w:cstheme="minorHAnsi"/>
          <w:sz w:val="24"/>
          <w:szCs w:val="24"/>
        </w:rPr>
        <w:t xml:space="preserve"> be available as part of the report to the </w:t>
      </w:r>
      <w:r w:rsidR="009015F4">
        <w:rPr>
          <w:rFonts w:ascii="Georgia" w:hAnsi="Georgia" w:cstheme="minorHAnsi"/>
          <w:sz w:val="24"/>
          <w:szCs w:val="24"/>
        </w:rPr>
        <w:t>federal government</w:t>
      </w:r>
      <w:r>
        <w:rPr>
          <w:rFonts w:ascii="Georgia" w:hAnsi="Georgia" w:cstheme="minorHAnsi"/>
          <w:sz w:val="24"/>
          <w:szCs w:val="24"/>
        </w:rPr>
        <w:t>, Georgia General Assembly and to the public in January</w:t>
      </w:r>
      <w:r w:rsidR="00995523">
        <w:rPr>
          <w:rFonts w:ascii="Georgia" w:hAnsi="Georgia" w:cstheme="minorHAnsi"/>
          <w:sz w:val="24"/>
          <w:szCs w:val="24"/>
        </w:rPr>
        <w:t xml:space="preserve"> 2011</w:t>
      </w:r>
      <w:r>
        <w:rPr>
          <w:rFonts w:ascii="Georgia" w:hAnsi="Georgia" w:cstheme="minorHAnsi"/>
          <w:sz w:val="24"/>
          <w:szCs w:val="24"/>
        </w:rPr>
        <w:t>.</w:t>
      </w:r>
    </w:p>
    <w:p w:rsidR="00F049CB" w:rsidRDefault="00D01A39" w:rsidP="00F049CB">
      <w:pPr>
        <w:pStyle w:val="NormalWeb"/>
        <w:ind w:firstLine="720"/>
        <w:rPr>
          <w:rFonts w:ascii="Georgia" w:hAnsi="Georgia"/>
          <w:bCs/>
          <w:sz w:val="24"/>
          <w:szCs w:val="24"/>
        </w:rPr>
      </w:pPr>
      <w:r>
        <w:rPr>
          <w:rFonts w:ascii="Georgia" w:hAnsi="Georgia" w:cstheme="minorHAnsi"/>
          <w:sz w:val="24"/>
          <w:szCs w:val="24"/>
        </w:rPr>
        <w:t xml:space="preserve">Debra concluded the presentation </w:t>
      </w:r>
      <w:r w:rsidR="005038DB">
        <w:rPr>
          <w:rFonts w:ascii="Georgia" w:hAnsi="Georgia" w:cstheme="minorHAnsi"/>
          <w:sz w:val="24"/>
          <w:szCs w:val="24"/>
        </w:rPr>
        <w:t xml:space="preserve">by </w:t>
      </w:r>
      <w:r>
        <w:rPr>
          <w:rFonts w:ascii="Georgia" w:hAnsi="Georgia" w:cstheme="minorHAnsi"/>
          <w:sz w:val="24"/>
          <w:szCs w:val="24"/>
        </w:rPr>
        <w:t xml:space="preserve">thanking the superior court clerks and DCSS for their support in providing the data.  Jill mentioned how Erica Thornton and her team at DCSS provided final orders and worksheets to us early on and was most helpful.  </w:t>
      </w:r>
      <w:r w:rsidR="003F0F8F" w:rsidRPr="00D01A39">
        <w:rPr>
          <w:rFonts w:ascii="Georgia" w:hAnsi="Georgia"/>
          <w:bCs/>
          <w:sz w:val="24"/>
          <w:szCs w:val="24"/>
        </w:rPr>
        <w:t xml:space="preserve">Chairman Harp asked </w:t>
      </w:r>
      <w:r w:rsidR="00F049CB">
        <w:rPr>
          <w:rFonts w:ascii="Georgia" w:hAnsi="Georgia"/>
          <w:bCs/>
          <w:sz w:val="24"/>
          <w:szCs w:val="24"/>
        </w:rPr>
        <w:t xml:space="preserve">the Staff </w:t>
      </w:r>
      <w:r w:rsidR="003F0F8F" w:rsidRPr="00D01A39">
        <w:rPr>
          <w:rFonts w:ascii="Georgia" w:hAnsi="Georgia"/>
          <w:bCs/>
          <w:sz w:val="24"/>
          <w:szCs w:val="24"/>
        </w:rPr>
        <w:t>that thank you letters be sent to the clerks</w:t>
      </w:r>
      <w:r w:rsidR="00F049CB">
        <w:rPr>
          <w:rFonts w:ascii="Georgia" w:hAnsi="Georgia"/>
          <w:bCs/>
          <w:sz w:val="24"/>
          <w:szCs w:val="24"/>
        </w:rPr>
        <w:t>.</w:t>
      </w:r>
    </w:p>
    <w:p w:rsidR="005E2105" w:rsidRPr="00D01A39" w:rsidRDefault="005E2105" w:rsidP="00F049CB">
      <w:pPr>
        <w:pStyle w:val="NormalWeb"/>
        <w:numPr>
          <w:ilvl w:val="0"/>
          <w:numId w:val="36"/>
        </w:numPr>
        <w:rPr>
          <w:rFonts w:ascii="Georgia" w:hAnsi="Georgia"/>
          <w:bCs/>
          <w:sz w:val="24"/>
          <w:szCs w:val="24"/>
        </w:rPr>
      </w:pPr>
      <w:r>
        <w:rPr>
          <w:rFonts w:ascii="Georgia" w:hAnsi="Georgia"/>
          <w:bCs/>
          <w:sz w:val="24"/>
          <w:szCs w:val="24"/>
        </w:rPr>
        <w:t>TRAINING AS A RESULT OF FINDINGS</w:t>
      </w:r>
    </w:p>
    <w:p w:rsidR="00255A44" w:rsidRDefault="00BA25F4" w:rsidP="00255A44">
      <w:pPr>
        <w:autoSpaceDE w:val="0"/>
        <w:autoSpaceDN w:val="0"/>
        <w:adjustRightInd w:val="0"/>
        <w:ind w:firstLine="720"/>
        <w:rPr>
          <w:rFonts w:ascii="Georgia" w:hAnsi="Georgia"/>
          <w:bCs/>
        </w:rPr>
      </w:pPr>
      <w:r>
        <w:rPr>
          <w:rFonts w:ascii="Georgia" w:hAnsi="Georgia"/>
          <w:bCs/>
        </w:rPr>
        <w:t>Jill reported that i</w:t>
      </w:r>
      <w:r w:rsidR="00255A44" w:rsidRPr="00040DC1">
        <w:rPr>
          <w:rFonts w:ascii="Georgia" w:hAnsi="Georgia"/>
          <w:bCs/>
        </w:rPr>
        <w:t xml:space="preserve">n addition to gathering the needed information for DCSS’s report to HHS, the </w:t>
      </w:r>
      <w:r w:rsidR="00255A44">
        <w:rPr>
          <w:rFonts w:ascii="Georgia" w:hAnsi="Georgia"/>
          <w:bCs/>
        </w:rPr>
        <w:t>Staff</w:t>
      </w:r>
      <w:r w:rsidR="00255A44" w:rsidRPr="00040DC1">
        <w:rPr>
          <w:rFonts w:ascii="Georgia" w:hAnsi="Georgia"/>
          <w:bCs/>
        </w:rPr>
        <w:t xml:space="preserve"> began to see repeated patterns of erroneous entries to the worksheet/schedules. </w:t>
      </w:r>
      <w:r w:rsidR="00255A44">
        <w:rPr>
          <w:rFonts w:ascii="Georgia" w:hAnsi="Georgia"/>
          <w:bCs/>
        </w:rPr>
        <w:t xml:space="preserve"> </w:t>
      </w:r>
      <w:r w:rsidR="00651A75">
        <w:rPr>
          <w:rFonts w:ascii="Georgia" w:hAnsi="Georgia"/>
          <w:bCs/>
        </w:rPr>
        <w:t xml:space="preserve">Many of these errors were so grave, that the amount of child support calculated was incorrect or not clear as to the appropriate obligation amount.  </w:t>
      </w:r>
      <w:r w:rsidR="00255A44">
        <w:rPr>
          <w:rFonts w:ascii="Georgia" w:hAnsi="Georgia"/>
          <w:bCs/>
        </w:rPr>
        <w:t>Ironically, during this same time period, m</w:t>
      </w:r>
      <w:r w:rsidR="00255A44" w:rsidRPr="00040DC1">
        <w:rPr>
          <w:rFonts w:ascii="Georgia" w:hAnsi="Georgia"/>
          <w:bCs/>
        </w:rPr>
        <w:t>any of the same issues had come under review of the appellate courts</w:t>
      </w:r>
      <w:r w:rsidR="00255A44">
        <w:rPr>
          <w:rFonts w:ascii="Georgia" w:hAnsi="Georgia"/>
          <w:bCs/>
        </w:rPr>
        <w:t xml:space="preserve">.  Because there were so many reversible errors found on the worksheets and orders, the appellate courts were remanding these cases back to the trial courts.  Thus, the unintended consequences of this review to gather data for federal reporting and analyze the Georgia Basic Child Support Obligation Tables </w:t>
      </w:r>
      <w:r w:rsidR="00AB1655">
        <w:rPr>
          <w:rFonts w:ascii="Georgia" w:hAnsi="Georgia"/>
          <w:bCs/>
        </w:rPr>
        <w:t xml:space="preserve">generated </w:t>
      </w:r>
      <w:r w:rsidR="00255A44">
        <w:rPr>
          <w:rFonts w:ascii="Georgia" w:hAnsi="Georgia"/>
          <w:bCs/>
        </w:rPr>
        <w:t>new training ideas and mechanisms to ensure better, consistent</w:t>
      </w:r>
      <w:r w:rsidR="00AB1655">
        <w:rPr>
          <w:rFonts w:ascii="Georgia" w:hAnsi="Georgia"/>
          <w:bCs/>
        </w:rPr>
        <w:t xml:space="preserve">, </w:t>
      </w:r>
      <w:r w:rsidR="00255A44">
        <w:rPr>
          <w:rFonts w:ascii="Georgia" w:hAnsi="Georgia"/>
          <w:bCs/>
        </w:rPr>
        <w:t>and accurate Child Support Worksheets.</w:t>
      </w:r>
    </w:p>
    <w:p w:rsidR="003B2C17" w:rsidRDefault="003B2C17" w:rsidP="00255A44">
      <w:pPr>
        <w:autoSpaceDE w:val="0"/>
        <w:autoSpaceDN w:val="0"/>
        <w:adjustRightInd w:val="0"/>
        <w:ind w:firstLine="720"/>
        <w:rPr>
          <w:rFonts w:ascii="Georgia" w:hAnsi="Georgia"/>
          <w:bCs/>
        </w:rPr>
      </w:pPr>
    </w:p>
    <w:p w:rsidR="003B2C17" w:rsidRDefault="00651A75" w:rsidP="00255A44">
      <w:pPr>
        <w:autoSpaceDE w:val="0"/>
        <w:autoSpaceDN w:val="0"/>
        <w:adjustRightInd w:val="0"/>
        <w:ind w:firstLine="720"/>
        <w:rPr>
          <w:rFonts w:ascii="Georgia" w:hAnsi="Georgia"/>
          <w:bCs/>
        </w:rPr>
      </w:pPr>
      <w:r>
        <w:rPr>
          <w:rFonts w:ascii="Georgia" w:hAnsi="Georgia"/>
          <w:bCs/>
        </w:rPr>
        <w:t xml:space="preserve">In reviewing all of these worksheets, the Staff compiled a list of the Top Twenty Errors.  This was first presented to DCSS in July.  A seminar is planned in November to work with DCSS’ Training </w:t>
      </w:r>
      <w:r w:rsidR="00623D26">
        <w:rPr>
          <w:rFonts w:ascii="Georgia" w:hAnsi="Georgia"/>
          <w:bCs/>
        </w:rPr>
        <w:t xml:space="preserve">and Staff Development Unit </w:t>
      </w:r>
      <w:r>
        <w:rPr>
          <w:rFonts w:ascii="Georgia" w:hAnsi="Georgia"/>
          <w:bCs/>
        </w:rPr>
        <w:t xml:space="preserve">for future trainings </w:t>
      </w:r>
      <w:r w:rsidR="00616CB7">
        <w:rPr>
          <w:rFonts w:ascii="Georgia" w:hAnsi="Georgia"/>
          <w:bCs/>
        </w:rPr>
        <w:t>within the</w:t>
      </w:r>
      <w:r>
        <w:rPr>
          <w:rFonts w:ascii="Georgia" w:hAnsi="Georgia"/>
          <w:bCs/>
        </w:rPr>
        <w:t xml:space="preserve"> </w:t>
      </w:r>
      <w:r w:rsidR="00AB1655">
        <w:rPr>
          <w:rFonts w:ascii="Georgia" w:hAnsi="Georgia"/>
          <w:bCs/>
        </w:rPr>
        <w:t>a</w:t>
      </w:r>
      <w:r>
        <w:rPr>
          <w:rFonts w:ascii="Georgia" w:hAnsi="Georgia"/>
          <w:bCs/>
        </w:rPr>
        <w:t xml:space="preserve">gency.  Unfortunately, this is the only end-user of </w:t>
      </w:r>
      <w:r w:rsidR="00AB1655">
        <w:rPr>
          <w:rFonts w:ascii="Georgia" w:hAnsi="Georgia"/>
          <w:bCs/>
        </w:rPr>
        <w:t>c</w:t>
      </w:r>
      <w:r>
        <w:rPr>
          <w:rFonts w:ascii="Georgia" w:hAnsi="Georgia"/>
          <w:bCs/>
        </w:rPr>
        <w:t xml:space="preserve">hild </w:t>
      </w:r>
      <w:r w:rsidR="00AB1655">
        <w:rPr>
          <w:rFonts w:ascii="Georgia" w:hAnsi="Georgia"/>
          <w:bCs/>
        </w:rPr>
        <w:t>s</w:t>
      </w:r>
      <w:r>
        <w:rPr>
          <w:rFonts w:ascii="Georgia" w:hAnsi="Georgia"/>
          <w:bCs/>
        </w:rPr>
        <w:t xml:space="preserve">upport tools who has such a developed apparatus for training.  Thus, more novel approaches are being </w:t>
      </w:r>
      <w:r w:rsidR="00AB1655">
        <w:rPr>
          <w:rFonts w:ascii="Georgia" w:hAnsi="Georgia"/>
          <w:bCs/>
        </w:rPr>
        <w:t xml:space="preserve">considered </w:t>
      </w:r>
      <w:r>
        <w:rPr>
          <w:rFonts w:ascii="Georgia" w:hAnsi="Georgia"/>
          <w:bCs/>
        </w:rPr>
        <w:t xml:space="preserve">for other entities, including private attorneys and self-represented litigants.  </w:t>
      </w:r>
      <w:r w:rsidR="006B1EDC">
        <w:rPr>
          <w:rFonts w:ascii="Georgia" w:hAnsi="Georgia"/>
          <w:bCs/>
        </w:rPr>
        <w:t>Jill said that on</w:t>
      </w:r>
      <w:r w:rsidR="005038DB">
        <w:rPr>
          <w:rFonts w:ascii="Georgia" w:hAnsi="Georgia"/>
          <w:bCs/>
        </w:rPr>
        <w:t xml:space="preserve">e such idea that is being developed is </w:t>
      </w:r>
      <w:r w:rsidR="006B1EDC">
        <w:rPr>
          <w:rFonts w:ascii="Georgia" w:hAnsi="Georgia"/>
          <w:bCs/>
        </w:rPr>
        <w:t xml:space="preserve">a brochure to be called a </w:t>
      </w:r>
      <w:r w:rsidR="007E678E">
        <w:rPr>
          <w:rFonts w:ascii="Georgia" w:hAnsi="Georgia"/>
          <w:bCs/>
        </w:rPr>
        <w:t>“Companion Guide to the Child Support Worksheet and Schedules</w:t>
      </w:r>
      <w:r w:rsidR="00C757C5">
        <w:rPr>
          <w:rFonts w:ascii="Georgia" w:hAnsi="Georgia"/>
          <w:bCs/>
        </w:rPr>
        <w:t xml:space="preserve">” (“Companion Guide”) </w:t>
      </w:r>
      <w:r w:rsidR="006B1EDC">
        <w:rPr>
          <w:rFonts w:ascii="Georgia" w:hAnsi="Georgia"/>
          <w:bCs/>
        </w:rPr>
        <w:t>and will be geared to attorneys, pro se litigants</w:t>
      </w:r>
      <w:r w:rsidR="00C757C5">
        <w:rPr>
          <w:rFonts w:ascii="Georgia" w:hAnsi="Georgia"/>
          <w:bCs/>
        </w:rPr>
        <w:t>,</w:t>
      </w:r>
      <w:r w:rsidR="006B1EDC">
        <w:rPr>
          <w:rFonts w:ascii="Georgia" w:hAnsi="Georgia"/>
          <w:bCs/>
        </w:rPr>
        <w:t xml:space="preserve"> and the courts</w:t>
      </w:r>
      <w:r w:rsidR="007E678E">
        <w:rPr>
          <w:rFonts w:ascii="Georgia" w:hAnsi="Georgia"/>
          <w:bCs/>
        </w:rPr>
        <w:t xml:space="preserve">.  </w:t>
      </w:r>
      <w:r w:rsidR="00C757C5">
        <w:rPr>
          <w:rFonts w:ascii="Georgia" w:hAnsi="Georgia"/>
          <w:bCs/>
        </w:rPr>
        <w:t>Instead of giving line by line instructions, t</w:t>
      </w:r>
      <w:r w:rsidR="006B1EDC">
        <w:rPr>
          <w:rFonts w:ascii="Georgia" w:hAnsi="Georgia"/>
          <w:bCs/>
        </w:rPr>
        <w:t>he intent of this brochure will call</w:t>
      </w:r>
      <w:r w:rsidR="007E678E">
        <w:rPr>
          <w:rFonts w:ascii="Georgia" w:hAnsi="Georgia"/>
          <w:bCs/>
        </w:rPr>
        <w:t xml:space="preserve"> attention to hot topics when filling out the </w:t>
      </w:r>
      <w:r w:rsidR="00C757C5">
        <w:rPr>
          <w:rFonts w:ascii="Georgia" w:hAnsi="Georgia"/>
          <w:bCs/>
        </w:rPr>
        <w:t>w</w:t>
      </w:r>
      <w:r w:rsidR="007E678E">
        <w:rPr>
          <w:rFonts w:ascii="Georgia" w:hAnsi="Georgia"/>
          <w:bCs/>
        </w:rPr>
        <w:t>orksheet.  Jill is seeking the assistance of the Family Law Section of the State Bar, judges</w:t>
      </w:r>
      <w:r w:rsidR="00C757C5">
        <w:rPr>
          <w:rFonts w:ascii="Georgia" w:hAnsi="Georgia"/>
          <w:bCs/>
        </w:rPr>
        <w:t>,</w:t>
      </w:r>
      <w:r w:rsidR="007E678E">
        <w:rPr>
          <w:rFonts w:ascii="Georgia" w:hAnsi="Georgia"/>
          <w:bCs/>
        </w:rPr>
        <w:t xml:space="preserve"> and DCSS to provide editorial support and overview. </w:t>
      </w:r>
      <w:r w:rsidR="00F94C7E">
        <w:rPr>
          <w:rFonts w:ascii="Georgia" w:hAnsi="Georgia"/>
          <w:bCs/>
        </w:rPr>
        <w:t xml:space="preserve"> </w:t>
      </w:r>
      <w:r w:rsidR="0039625E">
        <w:rPr>
          <w:rFonts w:ascii="Georgia" w:hAnsi="Georgia"/>
          <w:bCs/>
        </w:rPr>
        <w:t xml:space="preserve">Jill plans to present this booklet for the first time at the Family Law Section’s “Nuts and Bolts of Family Law” seminar on December 10.  </w:t>
      </w:r>
      <w:r w:rsidR="006B1EDC">
        <w:rPr>
          <w:rFonts w:ascii="Georgia" w:hAnsi="Georgia"/>
          <w:bCs/>
        </w:rPr>
        <w:t xml:space="preserve">A prototype of the brochure was distributed to Commission </w:t>
      </w:r>
      <w:r w:rsidR="00BA25F4">
        <w:rPr>
          <w:rFonts w:ascii="Georgia" w:hAnsi="Georgia"/>
          <w:bCs/>
        </w:rPr>
        <w:t>m</w:t>
      </w:r>
      <w:r w:rsidR="006B1EDC">
        <w:rPr>
          <w:rFonts w:ascii="Georgia" w:hAnsi="Georgia"/>
          <w:bCs/>
        </w:rPr>
        <w:t>embers</w:t>
      </w:r>
      <w:r w:rsidR="009C3649">
        <w:rPr>
          <w:rFonts w:ascii="Georgia" w:hAnsi="Georgia"/>
          <w:bCs/>
        </w:rPr>
        <w:t xml:space="preserve"> prior to the meeting</w:t>
      </w:r>
      <w:r w:rsidR="006B1EDC">
        <w:rPr>
          <w:rFonts w:ascii="Georgia" w:hAnsi="Georgia"/>
          <w:bCs/>
        </w:rPr>
        <w:t xml:space="preserve">.  </w:t>
      </w:r>
      <w:r w:rsidR="002C1FB1">
        <w:rPr>
          <w:rFonts w:ascii="Georgia" w:hAnsi="Georgia"/>
          <w:bCs/>
        </w:rPr>
        <w:t xml:space="preserve">The Commission </w:t>
      </w:r>
      <w:r w:rsidR="00C757C5">
        <w:rPr>
          <w:rFonts w:ascii="Georgia" w:hAnsi="Georgia"/>
          <w:bCs/>
        </w:rPr>
        <w:t>m</w:t>
      </w:r>
      <w:r w:rsidR="002C1FB1">
        <w:rPr>
          <w:rFonts w:ascii="Georgia" w:hAnsi="Georgia"/>
          <w:bCs/>
        </w:rPr>
        <w:t>embers present said they liked the concept of the Companion Guide.</w:t>
      </w:r>
    </w:p>
    <w:p w:rsidR="00BE592C" w:rsidRPr="00040DC1" w:rsidRDefault="00BE592C" w:rsidP="00EE68CF">
      <w:pPr>
        <w:autoSpaceDE w:val="0"/>
        <w:autoSpaceDN w:val="0"/>
        <w:adjustRightInd w:val="0"/>
        <w:ind w:firstLine="720"/>
        <w:rPr>
          <w:rFonts w:ascii="Georgia" w:hAnsi="Georgia"/>
          <w:bCs/>
        </w:rPr>
      </w:pPr>
    </w:p>
    <w:p w:rsidR="00F24D1E" w:rsidRPr="00E21BFD" w:rsidRDefault="00F24D1E" w:rsidP="00E21BFD">
      <w:pPr>
        <w:pStyle w:val="ListParagraph"/>
        <w:numPr>
          <w:ilvl w:val="0"/>
          <w:numId w:val="12"/>
        </w:numPr>
        <w:tabs>
          <w:tab w:val="clear" w:pos="1800"/>
          <w:tab w:val="num" w:pos="360"/>
        </w:tabs>
        <w:autoSpaceDE w:val="0"/>
        <w:autoSpaceDN w:val="0"/>
        <w:adjustRightInd w:val="0"/>
        <w:ind w:left="360"/>
        <w:rPr>
          <w:rFonts w:ascii="Georgia" w:hAnsi="Georgia"/>
          <w:b/>
          <w:bCs/>
          <w:u w:val="single"/>
        </w:rPr>
      </w:pPr>
      <w:r w:rsidRPr="00E21BFD">
        <w:rPr>
          <w:rFonts w:ascii="Georgia" w:hAnsi="Georgia"/>
          <w:b/>
          <w:bCs/>
          <w:u w:val="single"/>
        </w:rPr>
        <w:t>Child Support Obligation Table</w:t>
      </w:r>
    </w:p>
    <w:p w:rsidR="00F24D1E" w:rsidRPr="00040DC1" w:rsidRDefault="00F24D1E" w:rsidP="00F24D1E">
      <w:pPr>
        <w:autoSpaceDE w:val="0"/>
        <w:autoSpaceDN w:val="0"/>
        <w:adjustRightInd w:val="0"/>
        <w:rPr>
          <w:rFonts w:ascii="Georgia" w:hAnsi="Georgia"/>
          <w:bCs/>
        </w:rPr>
      </w:pPr>
    </w:p>
    <w:p w:rsidR="007B123D" w:rsidRDefault="00C34420" w:rsidP="00F24D1E">
      <w:pPr>
        <w:autoSpaceDE w:val="0"/>
        <w:autoSpaceDN w:val="0"/>
        <w:adjustRightInd w:val="0"/>
        <w:ind w:firstLine="720"/>
        <w:rPr>
          <w:rFonts w:ascii="Georgia" w:hAnsi="Georgia"/>
          <w:bCs/>
        </w:rPr>
      </w:pPr>
      <w:r>
        <w:rPr>
          <w:rFonts w:ascii="Georgia" w:hAnsi="Georgia"/>
          <w:bCs/>
        </w:rPr>
        <w:t xml:space="preserve">Chairman Harp called on Jill to give a report about the status of reviewing the Basic Child Support Obligation Table and </w:t>
      </w:r>
      <w:r w:rsidR="009C3649">
        <w:rPr>
          <w:rFonts w:ascii="Georgia" w:hAnsi="Georgia"/>
          <w:bCs/>
        </w:rPr>
        <w:t xml:space="preserve">for that purpose </w:t>
      </w:r>
      <w:r>
        <w:rPr>
          <w:rFonts w:ascii="Georgia" w:hAnsi="Georgia"/>
          <w:bCs/>
        </w:rPr>
        <w:t xml:space="preserve">the status </w:t>
      </w:r>
      <w:r w:rsidR="00D00044">
        <w:rPr>
          <w:rFonts w:ascii="Georgia" w:hAnsi="Georgia"/>
          <w:bCs/>
        </w:rPr>
        <w:t>of a contract to engage the services of the Center for Policy Research.  Jill said that a</w:t>
      </w:r>
      <w:r w:rsidR="00404FD2" w:rsidRPr="00040DC1">
        <w:rPr>
          <w:rFonts w:ascii="Georgia" w:hAnsi="Georgia"/>
          <w:bCs/>
        </w:rPr>
        <w:t>s part of the four-year review th</w:t>
      </w:r>
      <w:r w:rsidR="00BA25F4">
        <w:rPr>
          <w:rFonts w:ascii="Georgia" w:hAnsi="Georgia"/>
          <w:bCs/>
        </w:rPr>
        <w:t>e Commission has to review the Basic Child Support Obligation Table (“Table”)</w:t>
      </w:r>
      <w:r>
        <w:rPr>
          <w:rFonts w:ascii="Georgia" w:hAnsi="Georgia"/>
          <w:bCs/>
        </w:rPr>
        <w:t xml:space="preserve"> to </w:t>
      </w:r>
      <w:r w:rsidRPr="00040DC1">
        <w:rPr>
          <w:rFonts w:ascii="Georgia" w:hAnsi="Georgia"/>
          <w:bCs/>
        </w:rPr>
        <w:t>consider economic data on the costs of raising children</w:t>
      </w:r>
      <w:r>
        <w:rPr>
          <w:rFonts w:ascii="Georgia" w:hAnsi="Georgia"/>
          <w:bCs/>
        </w:rPr>
        <w:t xml:space="preserve"> and whether the </w:t>
      </w:r>
      <w:r>
        <w:rPr>
          <w:rFonts w:ascii="Georgia" w:hAnsi="Georgia"/>
          <w:bCs/>
        </w:rPr>
        <w:lastRenderedPageBreak/>
        <w:t>current Table meets that need</w:t>
      </w:r>
      <w:r w:rsidRPr="00040DC1">
        <w:rPr>
          <w:rFonts w:ascii="Georgia" w:hAnsi="Georgia"/>
          <w:bCs/>
        </w:rPr>
        <w:t xml:space="preserve">.  </w:t>
      </w:r>
      <w:r w:rsidR="00404FD2" w:rsidRPr="00040DC1">
        <w:rPr>
          <w:rFonts w:ascii="Georgia" w:hAnsi="Georgia"/>
          <w:bCs/>
        </w:rPr>
        <w:t xml:space="preserve">The Commission did review the </w:t>
      </w:r>
      <w:r w:rsidR="00BA25F4">
        <w:rPr>
          <w:rFonts w:ascii="Georgia" w:hAnsi="Georgia"/>
          <w:bCs/>
        </w:rPr>
        <w:t>Table</w:t>
      </w:r>
      <w:r w:rsidR="00404FD2" w:rsidRPr="00040DC1">
        <w:rPr>
          <w:rFonts w:ascii="Georgia" w:hAnsi="Georgia"/>
          <w:bCs/>
        </w:rPr>
        <w:t xml:space="preserve"> last year but made a decision not to make changes due</w:t>
      </w:r>
      <w:r w:rsidR="00A17B36">
        <w:rPr>
          <w:rFonts w:ascii="Georgia" w:hAnsi="Georgia"/>
          <w:bCs/>
        </w:rPr>
        <w:t xml:space="preserve"> to the downward movement</w:t>
      </w:r>
      <w:r w:rsidR="00B90448">
        <w:rPr>
          <w:rFonts w:ascii="Georgia" w:hAnsi="Georgia"/>
          <w:bCs/>
          <w:color w:val="FF0000"/>
        </w:rPr>
        <w:t xml:space="preserve"> </w:t>
      </w:r>
      <w:r w:rsidR="00B90448">
        <w:rPr>
          <w:rFonts w:ascii="Georgia" w:hAnsi="Georgia"/>
          <w:bCs/>
        </w:rPr>
        <w:t xml:space="preserve">of the economy.  This year, though, Jill </w:t>
      </w:r>
      <w:r w:rsidR="0002405B" w:rsidRPr="00040DC1">
        <w:rPr>
          <w:rFonts w:ascii="Georgia" w:hAnsi="Georgia"/>
          <w:bCs/>
        </w:rPr>
        <w:t>has</w:t>
      </w:r>
      <w:r w:rsidR="00F24D1E" w:rsidRPr="00040DC1">
        <w:rPr>
          <w:rFonts w:ascii="Georgia" w:hAnsi="Georgia"/>
          <w:bCs/>
        </w:rPr>
        <w:t xml:space="preserve"> been in contact with</w:t>
      </w:r>
      <w:r w:rsidR="00D00044">
        <w:rPr>
          <w:rFonts w:ascii="Georgia" w:hAnsi="Georgia"/>
          <w:bCs/>
        </w:rPr>
        <w:t xml:space="preserve"> t</w:t>
      </w:r>
      <w:r w:rsidR="00F24D1E" w:rsidRPr="00040DC1">
        <w:rPr>
          <w:rFonts w:ascii="Georgia" w:hAnsi="Georgia"/>
          <w:bCs/>
        </w:rPr>
        <w:t xml:space="preserve">he Center for Policy Research (CPR) to </w:t>
      </w:r>
      <w:r w:rsidR="009C3649">
        <w:rPr>
          <w:rFonts w:ascii="Georgia" w:hAnsi="Georgia"/>
          <w:bCs/>
        </w:rPr>
        <w:t xml:space="preserve">obtain </w:t>
      </w:r>
      <w:r w:rsidR="00F24D1E" w:rsidRPr="00040DC1">
        <w:rPr>
          <w:rFonts w:ascii="Georgia" w:hAnsi="Georgia"/>
          <w:bCs/>
        </w:rPr>
        <w:t xml:space="preserve">technical assistance to </w:t>
      </w:r>
      <w:r w:rsidR="007B123D" w:rsidRPr="00040DC1">
        <w:rPr>
          <w:rFonts w:ascii="Georgia" w:hAnsi="Georgia"/>
          <w:bCs/>
        </w:rPr>
        <w:t xml:space="preserve">review </w:t>
      </w:r>
      <w:r w:rsidR="00F24D1E" w:rsidRPr="00040DC1">
        <w:rPr>
          <w:rFonts w:ascii="Georgia" w:hAnsi="Georgia"/>
          <w:bCs/>
        </w:rPr>
        <w:t>Geor</w:t>
      </w:r>
      <w:r w:rsidR="00736A11">
        <w:rPr>
          <w:rFonts w:ascii="Georgia" w:hAnsi="Georgia"/>
          <w:bCs/>
        </w:rPr>
        <w:t xml:space="preserve">gia’s child support guidelines.  Dr. Jane Venohr who was so instrumental in helping to develop the current Table four years ago is again working with the Child Support Commission Staff </w:t>
      </w:r>
      <w:r w:rsidR="00603175">
        <w:rPr>
          <w:rFonts w:ascii="Georgia" w:hAnsi="Georgia"/>
          <w:bCs/>
        </w:rPr>
        <w:t xml:space="preserve">through the Center for Policy Research </w:t>
      </w:r>
      <w:r w:rsidR="00736A11">
        <w:rPr>
          <w:rFonts w:ascii="Georgia" w:hAnsi="Georgia"/>
          <w:bCs/>
        </w:rPr>
        <w:t xml:space="preserve">in developing a report and </w:t>
      </w:r>
      <w:r w:rsidR="009C3649">
        <w:rPr>
          <w:rFonts w:ascii="Georgia" w:hAnsi="Georgia"/>
          <w:bCs/>
        </w:rPr>
        <w:t xml:space="preserve">possible revisions to the </w:t>
      </w:r>
      <w:r w:rsidR="00736A11">
        <w:rPr>
          <w:rFonts w:ascii="Georgia" w:hAnsi="Georgia"/>
          <w:bCs/>
        </w:rPr>
        <w:t>Basic Child Support Obligation Tables</w:t>
      </w:r>
      <w:r>
        <w:rPr>
          <w:rFonts w:ascii="Georgia" w:hAnsi="Georgia"/>
          <w:bCs/>
        </w:rPr>
        <w:t>.</w:t>
      </w:r>
    </w:p>
    <w:p w:rsidR="00B90448" w:rsidRPr="00040DC1" w:rsidRDefault="00B90448" w:rsidP="00F24D1E">
      <w:pPr>
        <w:autoSpaceDE w:val="0"/>
        <w:autoSpaceDN w:val="0"/>
        <w:adjustRightInd w:val="0"/>
        <w:ind w:firstLine="720"/>
        <w:rPr>
          <w:rFonts w:ascii="Georgia" w:hAnsi="Georgia"/>
          <w:bCs/>
        </w:rPr>
      </w:pPr>
    </w:p>
    <w:p w:rsidR="00603175" w:rsidRDefault="00F24D1E" w:rsidP="008E60FD">
      <w:pPr>
        <w:autoSpaceDE w:val="0"/>
        <w:autoSpaceDN w:val="0"/>
        <w:adjustRightInd w:val="0"/>
        <w:ind w:firstLine="720"/>
        <w:rPr>
          <w:rFonts w:ascii="Georgia" w:hAnsi="Georgia"/>
          <w:bCs/>
        </w:rPr>
      </w:pPr>
      <w:r w:rsidRPr="00040DC1">
        <w:rPr>
          <w:rFonts w:ascii="Georgia" w:hAnsi="Georgia"/>
          <w:bCs/>
        </w:rPr>
        <w:t xml:space="preserve">In the last three years, CPR has provided technical assistance to state child support guidelines reviews in 16 states.  </w:t>
      </w:r>
      <w:r w:rsidR="00FE6335">
        <w:rPr>
          <w:rFonts w:ascii="Georgia" w:hAnsi="Georgia"/>
          <w:bCs/>
        </w:rPr>
        <w:t>CPR will provide</w:t>
      </w:r>
      <w:r w:rsidR="00D00044">
        <w:rPr>
          <w:rFonts w:ascii="Georgia" w:hAnsi="Georgia"/>
          <w:bCs/>
        </w:rPr>
        <w:t xml:space="preserve"> </w:t>
      </w:r>
      <w:r w:rsidR="00C34420">
        <w:rPr>
          <w:rFonts w:ascii="Georgia" w:hAnsi="Georgia"/>
          <w:bCs/>
        </w:rPr>
        <w:t xml:space="preserve">similar assistance, </w:t>
      </w:r>
      <w:r w:rsidR="002E4431">
        <w:rPr>
          <w:rFonts w:ascii="Georgia" w:hAnsi="Georgia"/>
          <w:bCs/>
        </w:rPr>
        <w:t xml:space="preserve">a </w:t>
      </w:r>
      <w:r w:rsidR="00C34420">
        <w:rPr>
          <w:rFonts w:ascii="Georgia" w:hAnsi="Georgia"/>
          <w:bCs/>
        </w:rPr>
        <w:t xml:space="preserve">report and </w:t>
      </w:r>
      <w:r w:rsidR="002E4431">
        <w:rPr>
          <w:rFonts w:ascii="Georgia" w:hAnsi="Georgia"/>
          <w:bCs/>
        </w:rPr>
        <w:t xml:space="preserve">proposed schedules </w:t>
      </w:r>
      <w:r w:rsidR="00FE6335">
        <w:rPr>
          <w:rFonts w:ascii="Georgia" w:hAnsi="Georgia"/>
          <w:bCs/>
        </w:rPr>
        <w:t xml:space="preserve">in its report to Georgia, as well as discussing the differences between Georgia and its neighboring states.  </w:t>
      </w:r>
      <w:r w:rsidRPr="00040DC1">
        <w:rPr>
          <w:rFonts w:ascii="Georgia" w:hAnsi="Georgia"/>
          <w:bCs/>
        </w:rPr>
        <w:t>CPR will identify the impact of updating the schedule (e.g., the average percentag</w:t>
      </w:r>
      <w:r w:rsidR="00C34420">
        <w:rPr>
          <w:rFonts w:ascii="Georgia" w:hAnsi="Georgia"/>
          <w:bCs/>
        </w:rPr>
        <w:t>e increase to schedule amounts) and develop one or more updated schedules.</w:t>
      </w:r>
      <w:r w:rsidRPr="00040DC1">
        <w:rPr>
          <w:rFonts w:ascii="Georgia" w:hAnsi="Georgia"/>
          <w:bCs/>
        </w:rPr>
        <w:t xml:space="preserve">  </w:t>
      </w:r>
      <w:r w:rsidR="00FE6335">
        <w:rPr>
          <w:rFonts w:ascii="Georgia" w:hAnsi="Georgia"/>
          <w:bCs/>
        </w:rPr>
        <w:t xml:space="preserve">When the </w:t>
      </w:r>
      <w:r w:rsidR="00057A56">
        <w:rPr>
          <w:rFonts w:ascii="Georgia" w:hAnsi="Georgia"/>
          <w:bCs/>
        </w:rPr>
        <w:t xml:space="preserve">updated schedules and report </w:t>
      </w:r>
      <w:r w:rsidR="00FE6335">
        <w:rPr>
          <w:rFonts w:ascii="Georgia" w:hAnsi="Georgia"/>
          <w:bCs/>
        </w:rPr>
        <w:t>are received</w:t>
      </w:r>
      <w:r w:rsidR="00057A56">
        <w:rPr>
          <w:rFonts w:ascii="Georgia" w:hAnsi="Georgia"/>
          <w:bCs/>
        </w:rPr>
        <w:t xml:space="preserve"> by mid-December</w:t>
      </w:r>
      <w:r w:rsidR="00FE6335">
        <w:rPr>
          <w:rFonts w:ascii="Georgia" w:hAnsi="Georgia"/>
          <w:bCs/>
        </w:rPr>
        <w:t xml:space="preserve">, Jill </w:t>
      </w:r>
      <w:r w:rsidR="00F03D7A">
        <w:rPr>
          <w:rFonts w:ascii="Georgia" w:hAnsi="Georgia"/>
          <w:bCs/>
        </w:rPr>
        <w:t xml:space="preserve">stated </w:t>
      </w:r>
      <w:r w:rsidR="00FE6335">
        <w:rPr>
          <w:rFonts w:ascii="Georgia" w:hAnsi="Georgia"/>
          <w:bCs/>
        </w:rPr>
        <w:t xml:space="preserve">that the aim is to convene another Child Support Commission meeting </w:t>
      </w:r>
      <w:r w:rsidR="00603175">
        <w:rPr>
          <w:rFonts w:ascii="Georgia" w:hAnsi="Georgia"/>
          <w:bCs/>
        </w:rPr>
        <w:t xml:space="preserve">to review the report and have a question and answer session with Dr. Venohr </w:t>
      </w:r>
      <w:r w:rsidR="00FE6335">
        <w:rPr>
          <w:rFonts w:ascii="Georgia" w:hAnsi="Georgia"/>
          <w:bCs/>
        </w:rPr>
        <w:t xml:space="preserve">to allow the Commission members to vote on </w:t>
      </w:r>
      <w:r w:rsidR="00603175">
        <w:rPr>
          <w:rFonts w:ascii="Georgia" w:hAnsi="Georgia"/>
          <w:bCs/>
        </w:rPr>
        <w:t xml:space="preserve">whether </w:t>
      </w:r>
      <w:r w:rsidR="00F03D7A">
        <w:rPr>
          <w:rFonts w:ascii="Georgia" w:hAnsi="Georgia"/>
          <w:bCs/>
        </w:rPr>
        <w:t xml:space="preserve">or not </w:t>
      </w:r>
      <w:r w:rsidR="00603175">
        <w:rPr>
          <w:rFonts w:ascii="Georgia" w:hAnsi="Georgia"/>
          <w:bCs/>
        </w:rPr>
        <w:t xml:space="preserve">to revise the </w:t>
      </w:r>
      <w:r w:rsidR="00057A56">
        <w:rPr>
          <w:rFonts w:ascii="Georgia" w:hAnsi="Georgia"/>
          <w:bCs/>
        </w:rPr>
        <w:t xml:space="preserve">Georgia </w:t>
      </w:r>
      <w:r w:rsidR="00603175">
        <w:rPr>
          <w:rFonts w:ascii="Georgia" w:hAnsi="Georgia"/>
          <w:bCs/>
        </w:rPr>
        <w:t xml:space="preserve">Basic Child Support Obligation Table.  </w:t>
      </w:r>
      <w:r w:rsidR="00936632">
        <w:rPr>
          <w:rFonts w:ascii="Georgia" w:hAnsi="Georgia"/>
          <w:bCs/>
        </w:rPr>
        <w:t>If the Commission does recommend revisions to the Table, there will have to be legislative action during the 2011 session.</w:t>
      </w:r>
    </w:p>
    <w:p w:rsidR="00603175" w:rsidRDefault="00603175" w:rsidP="008E60FD">
      <w:pPr>
        <w:autoSpaceDE w:val="0"/>
        <w:autoSpaceDN w:val="0"/>
        <w:adjustRightInd w:val="0"/>
        <w:ind w:firstLine="720"/>
        <w:rPr>
          <w:rFonts w:ascii="Georgia" w:hAnsi="Georgia"/>
          <w:bCs/>
        </w:rPr>
      </w:pPr>
    </w:p>
    <w:p w:rsidR="00F24D1E" w:rsidRPr="00040DC1" w:rsidRDefault="00603175" w:rsidP="008E60FD">
      <w:pPr>
        <w:autoSpaceDE w:val="0"/>
        <w:autoSpaceDN w:val="0"/>
        <w:adjustRightInd w:val="0"/>
        <w:ind w:firstLine="720"/>
        <w:rPr>
          <w:rFonts w:ascii="Georgia" w:hAnsi="Georgia"/>
          <w:bCs/>
        </w:rPr>
      </w:pPr>
      <w:r>
        <w:rPr>
          <w:rFonts w:ascii="Georgia" w:hAnsi="Georgia"/>
          <w:bCs/>
        </w:rPr>
        <w:t xml:space="preserve">Jill </w:t>
      </w:r>
      <w:r w:rsidR="00A82C57">
        <w:rPr>
          <w:rFonts w:ascii="Georgia" w:hAnsi="Georgia"/>
          <w:bCs/>
        </w:rPr>
        <w:t>said the plan</w:t>
      </w:r>
      <w:r w:rsidR="00041909" w:rsidRPr="00041909">
        <w:rPr>
          <w:rFonts w:ascii="Georgia" w:hAnsi="Georgia"/>
          <w:bCs/>
          <w:strike/>
        </w:rPr>
        <w:t>s</w:t>
      </w:r>
      <w:r w:rsidR="00A82C57">
        <w:rPr>
          <w:rFonts w:ascii="Georgia" w:hAnsi="Georgia"/>
          <w:bCs/>
        </w:rPr>
        <w:t xml:space="preserve"> is to involve Dr. Roger Tutterow’s Economic Study and Obligation Table subcommittee again, and possibly, if he recommends it, have Dr. Tutterow review the report and Table with the group of state economists he met with four years ago for their recommendations.</w:t>
      </w:r>
    </w:p>
    <w:p w:rsidR="008E60FD" w:rsidRPr="00040DC1" w:rsidRDefault="008E60FD" w:rsidP="008E60FD">
      <w:pPr>
        <w:autoSpaceDE w:val="0"/>
        <w:autoSpaceDN w:val="0"/>
        <w:adjustRightInd w:val="0"/>
        <w:ind w:firstLine="720"/>
        <w:rPr>
          <w:rFonts w:ascii="Georgia" w:hAnsi="Georgia"/>
          <w:bCs/>
        </w:rPr>
      </w:pPr>
    </w:p>
    <w:p w:rsidR="008E60FD" w:rsidRPr="00B01F2E" w:rsidRDefault="008E60FD" w:rsidP="00B01F2E">
      <w:pPr>
        <w:pStyle w:val="ListParagraph"/>
        <w:numPr>
          <w:ilvl w:val="0"/>
          <w:numId w:val="12"/>
        </w:numPr>
        <w:tabs>
          <w:tab w:val="clear" w:pos="1800"/>
          <w:tab w:val="num" w:pos="360"/>
        </w:tabs>
        <w:autoSpaceDE w:val="0"/>
        <w:autoSpaceDN w:val="0"/>
        <w:adjustRightInd w:val="0"/>
        <w:ind w:left="360"/>
        <w:rPr>
          <w:rFonts w:ascii="Georgia" w:hAnsi="Georgia"/>
          <w:b/>
          <w:bCs/>
          <w:u w:val="single"/>
        </w:rPr>
      </w:pPr>
      <w:r w:rsidRPr="00B01F2E">
        <w:rPr>
          <w:rFonts w:ascii="Georgia" w:hAnsi="Georgia"/>
          <w:b/>
          <w:bCs/>
          <w:u w:val="single"/>
        </w:rPr>
        <w:t>Final Report to the Legislature</w:t>
      </w:r>
    </w:p>
    <w:p w:rsidR="00D1101D" w:rsidRPr="00040DC1" w:rsidRDefault="00D1101D" w:rsidP="008E60FD">
      <w:pPr>
        <w:autoSpaceDE w:val="0"/>
        <w:autoSpaceDN w:val="0"/>
        <w:adjustRightInd w:val="0"/>
        <w:rPr>
          <w:rFonts w:ascii="Georgia" w:hAnsi="Georgia"/>
          <w:b/>
          <w:bCs/>
          <w:u w:val="single"/>
        </w:rPr>
      </w:pPr>
    </w:p>
    <w:p w:rsidR="00D1101D" w:rsidRPr="00040DC1" w:rsidRDefault="00D1101D" w:rsidP="008E60FD">
      <w:pPr>
        <w:autoSpaceDE w:val="0"/>
        <w:autoSpaceDN w:val="0"/>
        <w:adjustRightInd w:val="0"/>
        <w:rPr>
          <w:rFonts w:ascii="Georgia" w:hAnsi="Georgia"/>
          <w:bCs/>
        </w:rPr>
      </w:pPr>
      <w:r w:rsidRPr="00040DC1">
        <w:rPr>
          <w:rFonts w:ascii="Georgia" w:hAnsi="Georgia"/>
          <w:bCs/>
        </w:rPr>
        <w:tab/>
        <w:t xml:space="preserve">Jill reported to the Commission members that there would be another report to the legislature as part of the duties of the Child Support Commission. </w:t>
      </w:r>
      <w:r w:rsidR="00F94C7E">
        <w:rPr>
          <w:rFonts w:ascii="Georgia" w:hAnsi="Georgia"/>
          <w:bCs/>
        </w:rPr>
        <w:t xml:space="preserve"> </w:t>
      </w:r>
      <w:r w:rsidR="00B01F2E">
        <w:rPr>
          <w:rFonts w:ascii="Georgia" w:hAnsi="Georgia"/>
          <w:bCs/>
        </w:rPr>
        <w:t>The last report was issued in 2006.  While that report went into detail about the revisions to the Child Support Guidelines, the makeup of the Commission and the duties of the Child Support Commission, this report will focus on the Case Sampling and whether the Commission did or did not recommend updating the Child Support Obligation Table</w:t>
      </w:r>
      <w:r w:rsidR="00041909" w:rsidRPr="00041909">
        <w:rPr>
          <w:rFonts w:ascii="Georgia" w:hAnsi="Georgia"/>
          <w:bCs/>
          <w:strike/>
        </w:rPr>
        <w:t>s</w:t>
      </w:r>
      <w:r w:rsidR="00B01F2E">
        <w:rPr>
          <w:rFonts w:ascii="Georgia" w:hAnsi="Georgia"/>
          <w:bCs/>
        </w:rPr>
        <w:t>.  To that end, a report from the Center for Policy Research will be included with their suggested Tables.  The intent is to release this report to the legislature by early January 2011.  DCSS</w:t>
      </w:r>
      <w:r w:rsidRPr="00040DC1">
        <w:rPr>
          <w:rFonts w:ascii="Georgia" w:hAnsi="Georgia"/>
          <w:bCs/>
        </w:rPr>
        <w:t xml:space="preserve"> will also use the information </w:t>
      </w:r>
      <w:r w:rsidR="00B01F2E">
        <w:rPr>
          <w:rFonts w:ascii="Georgia" w:hAnsi="Georgia"/>
          <w:bCs/>
        </w:rPr>
        <w:t xml:space="preserve">contained within the report </w:t>
      </w:r>
      <w:r w:rsidRPr="00040DC1">
        <w:rPr>
          <w:rFonts w:ascii="Georgia" w:hAnsi="Georgia"/>
          <w:bCs/>
        </w:rPr>
        <w:t xml:space="preserve">for reporting to the </w:t>
      </w:r>
      <w:r w:rsidR="00B01F2E">
        <w:rPr>
          <w:rFonts w:ascii="Georgia" w:hAnsi="Georgia"/>
          <w:bCs/>
        </w:rPr>
        <w:t xml:space="preserve">Health and Human Services, as required by federal code and regulations.  </w:t>
      </w:r>
      <w:r w:rsidR="00926C69">
        <w:rPr>
          <w:rFonts w:ascii="Georgia" w:hAnsi="Georgia"/>
          <w:bCs/>
        </w:rPr>
        <w:t xml:space="preserve">DCSS </w:t>
      </w:r>
      <w:r w:rsidR="0040413E">
        <w:rPr>
          <w:rFonts w:ascii="Georgia" w:hAnsi="Georgia"/>
          <w:bCs/>
        </w:rPr>
        <w:t>stated</w:t>
      </w:r>
      <w:r w:rsidR="00926C69">
        <w:rPr>
          <w:rFonts w:ascii="Georgia" w:hAnsi="Georgia"/>
          <w:bCs/>
        </w:rPr>
        <w:t xml:space="preserve"> at the meeting that while the report to HHS was due July 1, 2010, an extension was granted to submit the report by May 1, 2011.</w:t>
      </w:r>
    </w:p>
    <w:p w:rsidR="00BA7C3F" w:rsidRPr="00040DC1" w:rsidRDefault="00BA7C3F" w:rsidP="008E60FD">
      <w:pPr>
        <w:autoSpaceDE w:val="0"/>
        <w:autoSpaceDN w:val="0"/>
        <w:adjustRightInd w:val="0"/>
        <w:rPr>
          <w:rFonts w:ascii="Georgia" w:hAnsi="Georgia"/>
          <w:b/>
          <w:bCs/>
          <w:u w:val="single"/>
        </w:rPr>
      </w:pPr>
    </w:p>
    <w:p w:rsidR="00BA7C3F" w:rsidRDefault="00BA7C3F" w:rsidP="00A82C57">
      <w:pPr>
        <w:pStyle w:val="ListParagraph"/>
        <w:numPr>
          <w:ilvl w:val="0"/>
          <w:numId w:val="12"/>
        </w:numPr>
        <w:tabs>
          <w:tab w:val="clear" w:pos="1800"/>
          <w:tab w:val="num" w:pos="360"/>
        </w:tabs>
        <w:autoSpaceDE w:val="0"/>
        <w:autoSpaceDN w:val="0"/>
        <w:adjustRightInd w:val="0"/>
        <w:ind w:left="360"/>
        <w:rPr>
          <w:rFonts w:ascii="Georgia" w:hAnsi="Georgia"/>
          <w:b/>
          <w:bCs/>
          <w:u w:val="single"/>
        </w:rPr>
      </w:pPr>
      <w:r w:rsidRPr="00A82C57">
        <w:rPr>
          <w:rFonts w:ascii="Georgia" w:hAnsi="Georgia"/>
          <w:b/>
          <w:bCs/>
          <w:u w:val="single"/>
        </w:rPr>
        <w:t>Report on Child Support Calculators</w:t>
      </w:r>
    </w:p>
    <w:p w:rsidR="003863E7" w:rsidRPr="003863E7" w:rsidRDefault="003863E7" w:rsidP="003863E7">
      <w:pPr>
        <w:tabs>
          <w:tab w:val="num" w:pos="360"/>
        </w:tabs>
        <w:autoSpaceDE w:val="0"/>
        <w:autoSpaceDN w:val="0"/>
        <w:adjustRightInd w:val="0"/>
        <w:rPr>
          <w:rFonts w:ascii="Georgia" w:hAnsi="Georgia"/>
          <w:b/>
          <w:bCs/>
          <w:u w:val="single"/>
        </w:rPr>
      </w:pPr>
    </w:p>
    <w:p w:rsidR="00A82C57" w:rsidRPr="00A82C57" w:rsidRDefault="00A82C57" w:rsidP="004B233E">
      <w:pPr>
        <w:pStyle w:val="ListParagraph"/>
        <w:autoSpaceDE w:val="0"/>
        <w:autoSpaceDN w:val="0"/>
        <w:adjustRightInd w:val="0"/>
        <w:ind w:left="0" w:firstLine="720"/>
        <w:rPr>
          <w:rFonts w:ascii="Georgia" w:hAnsi="Georgia"/>
          <w:bCs/>
        </w:rPr>
      </w:pPr>
      <w:r>
        <w:rPr>
          <w:rFonts w:ascii="Georgia" w:hAnsi="Georgia"/>
          <w:bCs/>
        </w:rPr>
        <w:t xml:space="preserve">Elaine, who is assigned the responsibility of overseeing the Child Support </w:t>
      </w:r>
      <w:r w:rsidR="004B233E">
        <w:rPr>
          <w:rFonts w:ascii="Georgia" w:hAnsi="Georgia"/>
          <w:bCs/>
        </w:rPr>
        <w:t>C</w:t>
      </w:r>
      <w:r>
        <w:rPr>
          <w:rFonts w:ascii="Georgia" w:hAnsi="Georgia"/>
          <w:bCs/>
        </w:rPr>
        <w:t xml:space="preserve">alculator, reported on the current status of the calculator.  </w:t>
      </w:r>
      <w:r w:rsidR="004748BE">
        <w:rPr>
          <w:rFonts w:ascii="Georgia" w:hAnsi="Georgia"/>
          <w:bCs/>
        </w:rPr>
        <w:t xml:space="preserve">She said that the </w:t>
      </w:r>
      <w:r w:rsidR="003E1C89">
        <w:rPr>
          <w:rFonts w:ascii="Georgia" w:hAnsi="Georgia"/>
          <w:bCs/>
        </w:rPr>
        <w:t>c</w:t>
      </w:r>
      <w:r w:rsidR="004748BE">
        <w:rPr>
          <w:rFonts w:ascii="Georgia" w:hAnsi="Georgia"/>
          <w:bCs/>
        </w:rPr>
        <w:t>alculator was revised in September 2009</w:t>
      </w:r>
      <w:r w:rsidR="003E1C89">
        <w:rPr>
          <w:rFonts w:ascii="Georgia" w:hAnsi="Georgia"/>
          <w:bCs/>
        </w:rPr>
        <w:t>,</w:t>
      </w:r>
      <w:r w:rsidR="004748BE">
        <w:rPr>
          <w:rFonts w:ascii="Georgia" w:hAnsi="Georgia"/>
          <w:bCs/>
        </w:rPr>
        <w:t xml:space="preserve"> due to the </w:t>
      </w:r>
      <w:r w:rsidR="0040413E">
        <w:rPr>
          <w:rFonts w:ascii="Georgia" w:hAnsi="Georgia"/>
          <w:bCs/>
        </w:rPr>
        <w:t xml:space="preserve">statutory </w:t>
      </w:r>
      <w:r w:rsidR="006944DC">
        <w:rPr>
          <w:rFonts w:ascii="Georgia" w:hAnsi="Georgia"/>
          <w:bCs/>
        </w:rPr>
        <w:t>changes to</w:t>
      </w:r>
      <w:r w:rsidR="004748BE">
        <w:rPr>
          <w:rFonts w:ascii="Georgia" w:hAnsi="Georgia"/>
          <w:bCs/>
        </w:rPr>
        <w:t xml:space="preserve"> the low income deviation provision.  </w:t>
      </w:r>
      <w:r w:rsidR="006944DC">
        <w:rPr>
          <w:rFonts w:ascii="Georgia" w:hAnsi="Georgia"/>
          <w:bCs/>
        </w:rPr>
        <w:t xml:space="preserve">Most recent, another version came out due to problems with the </w:t>
      </w:r>
      <w:r w:rsidR="006944DC">
        <w:rPr>
          <w:rFonts w:ascii="Georgia" w:hAnsi="Georgia"/>
          <w:bCs/>
        </w:rPr>
        <w:lastRenderedPageBreak/>
        <w:t xml:space="preserve">program that was created when users were trying to change the names on the tabs of the calculator workbook.  </w:t>
      </w:r>
      <w:r w:rsidR="001270C1">
        <w:rPr>
          <w:rFonts w:ascii="Georgia" w:hAnsi="Georgia"/>
          <w:bCs/>
        </w:rPr>
        <w:t xml:space="preserve">The end result was that the tabs had to be protected so that in the future the names could not be </w:t>
      </w:r>
      <w:r w:rsidR="0040413E">
        <w:rPr>
          <w:rFonts w:ascii="Georgia" w:hAnsi="Georgia"/>
          <w:bCs/>
        </w:rPr>
        <w:t>altered</w:t>
      </w:r>
      <w:r w:rsidR="001270C1">
        <w:rPr>
          <w:rFonts w:ascii="Georgia" w:hAnsi="Georgia"/>
          <w:bCs/>
        </w:rPr>
        <w:t xml:space="preserve">. </w:t>
      </w:r>
      <w:r w:rsidR="00F94C7E">
        <w:rPr>
          <w:rFonts w:ascii="Georgia" w:hAnsi="Georgia"/>
          <w:bCs/>
        </w:rPr>
        <w:t xml:space="preserve"> </w:t>
      </w:r>
      <w:r w:rsidR="00FE4D13">
        <w:rPr>
          <w:rFonts w:ascii="Georgia" w:hAnsi="Georgia"/>
          <w:bCs/>
        </w:rPr>
        <w:t>There will be another release of the calculator in January</w:t>
      </w:r>
      <w:r w:rsidR="0040413E">
        <w:rPr>
          <w:rFonts w:ascii="Georgia" w:hAnsi="Georgia"/>
          <w:bCs/>
        </w:rPr>
        <w:t xml:space="preserve"> 2011</w:t>
      </w:r>
      <w:r w:rsidR="00FE4D13">
        <w:rPr>
          <w:rFonts w:ascii="Georgia" w:hAnsi="Georgia"/>
          <w:bCs/>
        </w:rPr>
        <w:t xml:space="preserve"> due to</w:t>
      </w:r>
      <w:r w:rsidR="0040413E">
        <w:rPr>
          <w:rFonts w:ascii="Georgia" w:hAnsi="Georgia"/>
          <w:bCs/>
        </w:rPr>
        <w:t xml:space="preserve"> the annual</w:t>
      </w:r>
      <w:r w:rsidR="00FE4D13">
        <w:rPr>
          <w:rFonts w:ascii="Georgia" w:hAnsi="Georgia"/>
          <w:bCs/>
        </w:rPr>
        <w:t xml:space="preserve"> </w:t>
      </w:r>
      <w:r w:rsidR="0040413E">
        <w:rPr>
          <w:rFonts w:ascii="Georgia" w:hAnsi="Georgia"/>
          <w:bCs/>
        </w:rPr>
        <w:t xml:space="preserve">change </w:t>
      </w:r>
      <w:r w:rsidR="00FE4D13">
        <w:rPr>
          <w:rFonts w:ascii="Georgia" w:hAnsi="Georgia"/>
          <w:bCs/>
        </w:rPr>
        <w:t>of the maximum FICA amount.</w:t>
      </w:r>
      <w:r w:rsidR="001270C1">
        <w:rPr>
          <w:rFonts w:ascii="Georgia" w:hAnsi="Georgia"/>
          <w:bCs/>
        </w:rPr>
        <w:t xml:space="preserve">  Elaine concluded by inviting Commission </w:t>
      </w:r>
      <w:r w:rsidR="003E1C89">
        <w:rPr>
          <w:rFonts w:ascii="Georgia" w:hAnsi="Georgia"/>
          <w:bCs/>
        </w:rPr>
        <w:t>m</w:t>
      </w:r>
      <w:r w:rsidR="001270C1">
        <w:rPr>
          <w:rFonts w:ascii="Georgia" w:hAnsi="Georgia"/>
          <w:bCs/>
        </w:rPr>
        <w:t xml:space="preserve">embers to visit the Commission website to download the </w:t>
      </w:r>
      <w:r w:rsidR="003E1C89">
        <w:rPr>
          <w:rFonts w:ascii="Georgia" w:hAnsi="Georgia"/>
          <w:bCs/>
        </w:rPr>
        <w:t>c</w:t>
      </w:r>
      <w:r w:rsidR="001270C1">
        <w:rPr>
          <w:rFonts w:ascii="Georgia" w:hAnsi="Georgia"/>
          <w:bCs/>
        </w:rPr>
        <w:t xml:space="preserve">hild </w:t>
      </w:r>
      <w:r w:rsidR="003E1C89">
        <w:rPr>
          <w:rFonts w:ascii="Georgia" w:hAnsi="Georgia"/>
          <w:bCs/>
        </w:rPr>
        <w:t>s</w:t>
      </w:r>
      <w:r w:rsidR="001270C1">
        <w:rPr>
          <w:rFonts w:ascii="Georgia" w:hAnsi="Georgia"/>
          <w:bCs/>
        </w:rPr>
        <w:t xml:space="preserve">upport </w:t>
      </w:r>
      <w:r w:rsidR="003E1C89">
        <w:rPr>
          <w:rFonts w:ascii="Georgia" w:hAnsi="Georgia"/>
          <w:bCs/>
        </w:rPr>
        <w:t>c</w:t>
      </w:r>
      <w:r w:rsidR="001270C1">
        <w:rPr>
          <w:rFonts w:ascii="Georgia" w:hAnsi="Georgia"/>
          <w:bCs/>
        </w:rPr>
        <w:t>alculators.</w:t>
      </w:r>
    </w:p>
    <w:p w:rsidR="00BA7C3F" w:rsidRPr="00040DC1" w:rsidRDefault="00BA7C3F" w:rsidP="008E60FD">
      <w:pPr>
        <w:autoSpaceDE w:val="0"/>
        <w:autoSpaceDN w:val="0"/>
        <w:adjustRightInd w:val="0"/>
        <w:rPr>
          <w:rFonts w:ascii="Georgia" w:hAnsi="Georgia"/>
          <w:b/>
          <w:bCs/>
          <w:u w:val="single"/>
        </w:rPr>
      </w:pPr>
    </w:p>
    <w:p w:rsidR="00BA7C3F" w:rsidRPr="001270C1" w:rsidRDefault="00BA7C3F" w:rsidP="001270C1">
      <w:pPr>
        <w:pStyle w:val="ListParagraph"/>
        <w:numPr>
          <w:ilvl w:val="0"/>
          <w:numId w:val="12"/>
        </w:numPr>
        <w:tabs>
          <w:tab w:val="clear" w:pos="1800"/>
          <w:tab w:val="num" w:pos="360"/>
        </w:tabs>
        <w:autoSpaceDE w:val="0"/>
        <w:autoSpaceDN w:val="0"/>
        <w:adjustRightInd w:val="0"/>
        <w:ind w:left="360"/>
        <w:rPr>
          <w:rFonts w:ascii="Georgia" w:hAnsi="Georgia"/>
          <w:b/>
          <w:bCs/>
          <w:u w:val="single"/>
        </w:rPr>
      </w:pPr>
      <w:r w:rsidRPr="001270C1">
        <w:rPr>
          <w:rFonts w:ascii="Georgia" w:hAnsi="Georgia"/>
          <w:b/>
          <w:bCs/>
          <w:u w:val="single"/>
        </w:rPr>
        <w:t>Close of Meeting and Scheduling Next Meeting</w:t>
      </w:r>
    </w:p>
    <w:p w:rsidR="00F24D1E" w:rsidRPr="00040DC1" w:rsidRDefault="00F24D1E" w:rsidP="00F24D1E">
      <w:pPr>
        <w:autoSpaceDE w:val="0"/>
        <w:autoSpaceDN w:val="0"/>
        <w:adjustRightInd w:val="0"/>
        <w:ind w:firstLine="720"/>
        <w:rPr>
          <w:rFonts w:ascii="Georgia" w:hAnsi="Georgia"/>
          <w:bCs/>
        </w:rPr>
      </w:pPr>
    </w:p>
    <w:p w:rsidR="005D23F8" w:rsidRDefault="001270C1" w:rsidP="001270C1">
      <w:pPr>
        <w:autoSpaceDE w:val="0"/>
        <w:autoSpaceDN w:val="0"/>
        <w:adjustRightInd w:val="0"/>
        <w:ind w:firstLine="720"/>
        <w:rPr>
          <w:rFonts w:ascii="Georgia" w:hAnsi="Georgia"/>
          <w:bCs/>
        </w:rPr>
      </w:pPr>
      <w:r>
        <w:rPr>
          <w:rFonts w:ascii="Georgia" w:hAnsi="Georgia"/>
          <w:bCs/>
        </w:rPr>
        <w:t>In closing, Chairman Harp stated that another meeting will need to be held prior to the end of the year to review the proposed new schedules from Center for Policy Research.  Dr. Jane Venohr will be presenting the schedules, providing the economic theory behind the schedule</w:t>
      </w:r>
      <w:r w:rsidR="0040413E">
        <w:rPr>
          <w:rFonts w:ascii="Georgia" w:hAnsi="Georgia"/>
          <w:bCs/>
        </w:rPr>
        <w:t>(s)</w:t>
      </w:r>
      <w:r>
        <w:rPr>
          <w:rFonts w:ascii="Georgia" w:hAnsi="Georgia"/>
          <w:bCs/>
        </w:rPr>
        <w:t>, and answering questions about the suggestions in the report and the schedule(s).  After several dates were discussed, December 17</w:t>
      </w:r>
      <w:r w:rsidR="003E1C89">
        <w:rPr>
          <w:rFonts w:ascii="Georgia" w:hAnsi="Georgia"/>
          <w:bCs/>
        </w:rPr>
        <w:t>,</w:t>
      </w:r>
      <w:r>
        <w:rPr>
          <w:rFonts w:ascii="Georgia" w:hAnsi="Georgia"/>
          <w:bCs/>
        </w:rPr>
        <w:t xml:space="preserve"> was selected as the next meeting date.</w:t>
      </w:r>
    </w:p>
    <w:p w:rsidR="00845CA7" w:rsidRPr="00040DC1" w:rsidRDefault="00845CA7" w:rsidP="001270C1">
      <w:pPr>
        <w:autoSpaceDE w:val="0"/>
        <w:autoSpaceDN w:val="0"/>
        <w:adjustRightInd w:val="0"/>
        <w:ind w:firstLine="720"/>
        <w:rPr>
          <w:rFonts w:ascii="Georgia" w:hAnsi="Georgia"/>
          <w:bCs/>
        </w:rPr>
      </w:pPr>
    </w:p>
    <w:p w:rsidR="000119BA" w:rsidRPr="00040DC1" w:rsidRDefault="000119BA" w:rsidP="005D23F8">
      <w:pPr>
        <w:autoSpaceDE w:val="0"/>
        <w:autoSpaceDN w:val="0"/>
        <w:adjustRightInd w:val="0"/>
        <w:ind w:firstLine="720"/>
        <w:rPr>
          <w:rFonts w:ascii="Georgia" w:hAnsi="Georgia"/>
          <w:bCs/>
        </w:rPr>
      </w:pPr>
      <w:r w:rsidRPr="00040DC1">
        <w:rPr>
          <w:rFonts w:ascii="Georgia" w:hAnsi="Georgia"/>
          <w:bCs/>
        </w:rPr>
        <w:t>The meeting was adjourned at 10:</w:t>
      </w:r>
      <w:r w:rsidR="00E649A0" w:rsidRPr="00040DC1">
        <w:rPr>
          <w:rFonts w:ascii="Georgia" w:hAnsi="Georgia"/>
          <w:bCs/>
        </w:rPr>
        <w:t>54</w:t>
      </w:r>
      <w:r w:rsidRPr="00040DC1">
        <w:rPr>
          <w:rFonts w:ascii="Georgia" w:hAnsi="Georgia"/>
          <w:bCs/>
        </w:rPr>
        <w:t xml:space="preserve"> a.m., EST.</w:t>
      </w:r>
    </w:p>
    <w:sectPr w:rsidR="000119BA" w:rsidRPr="00040DC1" w:rsidSect="00AB165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3B1" w:rsidRDefault="008763B1" w:rsidP="00316CEA">
      <w:r>
        <w:separator/>
      </w:r>
    </w:p>
  </w:endnote>
  <w:endnote w:type="continuationSeparator" w:id="0">
    <w:p w:rsidR="008763B1" w:rsidRDefault="008763B1" w:rsidP="00316C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B1" w:rsidRDefault="008763B1">
    <w:pPr>
      <w:pStyle w:val="Footer"/>
    </w:pPr>
    <w:fldSimple w:instr=" PAGE   \* MERGEFORMAT ">
      <w:r w:rsidR="00997A04">
        <w:rPr>
          <w:noProof/>
        </w:rPr>
        <w:t>7</w:t>
      </w:r>
    </w:fldSimple>
  </w:p>
  <w:p w:rsidR="008763B1" w:rsidRDefault="008763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3B1" w:rsidRDefault="008763B1" w:rsidP="00316CEA">
      <w:r>
        <w:separator/>
      </w:r>
    </w:p>
  </w:footnote>
  <w:footnote w:type="continuationSeparator" w:id="0">
    <w:p w:rsidR="008763B1" w:rsidRDefault="008763B1" w:rsidP="00316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B1" w:rsidRDefault="008763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09641" o:spid="_x0000_s2050" type="#_x0000_t136" style="position:absolute;margin-left:0;margin-top:0;width:612.6pt;height:47.1pt;rotation:315;z-index:-251654144;mso-position-horizontal:center;mso-position-horizontal-relative:margin;mso-position-vertical:center;mso-position-vertical-relative:margin" o:allowincell="f" fillcolor="silver" stroked="f">
          <v:fill opacity=".5"/>
          <v:textpath style="font-family:&quot;Times New Roman&quot;;font-size:1pt" string="Needs Committee Approv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B1" w:rsidRDefault="008763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09642" o:spid="_x0000_s2051" type="#_x0000_t136" style="position:absolute;margin-left:0;margin-top:0;width:612.6pt;height:47.1pt;rotation:315;z-index:-251652096;mso-position-horizontal:center;mso-position-horizontal-relative:margin;mso-position-vertical:center;mso-position-vertical-relative:margin" o:allowincell="f" fillcolor="silver" stroked="f">
          <v:fill opacity=".5"/>
          <v:textpath style="font-family:&quot;Times New Roman&quot;;font-size:1pt" string="Needs Committee Approval"/>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B1" w:rsidRDefault="008763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09640" o:spid="_x0000_s2049" type="#_x0000_t136" style="position:absolute;margin-left:0;margin-top:0;width:612.6pt;height:47.1pt;rotation:315;z-index:-251656192;mso-position-horizontal:center;mso-position-horizontal-relative:margin;mso-position-vertical:center;mso-position-vertical-relative:margin" o:allowincell="f" fillcolor="silver" stroked="f">
          <v:fill opacity=".5"/>
          <v:textpath style="font-family:&quot;Times New Roman&quot;;font-size:1pt" string="Needs Committee Approv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ACB"/>
    <w:multiLevelType w:val="hybridMultilevel"/>
    <w:tmpl w:val="6A9E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58584E"/>
    <w:multiLevelType w:val="hybridMultilevel"/>
    <w:tmpl w:val="993626C0"/>
    <w:lvl w:ilvl="0" w:tplc="43509F64">
      <w:start w:val="1"/>
      <w:numFmt w:val="upperRoman"/>
      <w:lvlText w:val="%1."/>
      <w:lvlJc w:val="left"/>
      <w:pPr>
        <w:tabs>
          <w:tab w:val="num" w:pos="1440"/>
        </w:tabs>
        <w:ind w:left="1440" w:hanging="720"/>
      </w:pPr>
      <w:rPr>
        <w:rFonts w:hint="default"/>
      </w:rPr>
    </w:lvl>
    <w:lvl w:ilvl="1" w:tplc="0CD0D1F0">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FD4F69"/>
    <w:multiLevelType w:val="hybridMultilevel"/>
    <w:tmpl w:val="58123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A537D9"/>
    <w:multiLevelType w:val="hybridMultilevel"/>
    <w:tmpl w:val="1892F25A"/>
    <w:lvl w:ilvl="0" w:tplc="E7BA756C">
      <w:start w:val="1"/>
      <w:numFmt w:val="lowerLetter"/>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4C44DB"/>
    <w:multiLevelType w:val="hybridMultilevel"/>
    <w:tmpl w:val="B9B6259E"/>
    <w:lvl w:ilvl="0" w:tplc="5CA8160A">
      <w:start w:val="6"/>
      <w:numFmt w:val="upperRoman"/>
      <w:lvlText w:val="%1."/>
      <w:lvlJc w:val="left"/>
      <w:pPr>
        <w:tabs>
          <w:tab w:val="num" w:pos="1440"/>
        </w:tabs>
        <w:ind w:left="1440" w:hanging="720"/>
      </w:pPr>
      <w:rPr>
        <w:rFonts w:hint="default"/>
      </w:rPr>
    </w:lvl>
    <w:lvl w:ilvl="1" w:tplc="FF0AE1B0" w:tentative="1">
      <w:start w:val="1"/>
      <w:numFmt w:val="lowerLetter"/>
      <w:lvlText w:val="%2."/>
      <w:lvlJc w:val="left"/>
      <w:pPr>
        <w:tabs>
          <w:tab w:val="num" w:pos="1800"/>
        </w:tabs>
        <w:ind w:left="1800" w:hanging="360"/>
      </w:pPr>
    </w:lvl>
    <w:lvl w:ilvl="2" w:tplc="B5DA10F2" w:tentative="1">
      <w:start w:val="1"/>
      <w:numFmt w:val="lowerRoman"/>
      <w:lvlText w:val="%3."/>
      <w:lvlJc w:val="right"/>
      <w:pPr>
        <w:tabs>
          <w:tab w:val="num" w:pos="2520"/>
        </w:tabs>
        <w:ind w:left="2520" w:hanging="180"/>
      </w:pPr>
    </w:lvl>
    <w:lvl w:ilvl="3" w:tplc="95988906" w:tentative="1">
      <w:start w:val="1"/>
      <w:numFmt w:val="decimal"/>
      <w:lvlText w:val="%4."/>
      <w:lvlJc w:val="left"/>
      <w:pPr>
        <w:tabs>
          <w:tab w:val="num" w:pos="3240"/>
        </w:tabs>
        <w:ind w:left="3240" w:hanging="360"/>
      </w:pPr>
    </w:lvl>
    <w:lvl w:ilvl="4" w:tplc="45AEB728" w:tentative="1">
      <w:start w:val="1"/>
      <w:numFmt w:val="lowerLetter"/>
      <w:lvlText w:val="%5."/>
      <w:lvlJc w:val="left"/>
      <w:pPr>
        <w:tabs>
          <w:tab w:val="num" w:pos="3960"/>
        </w:tabs>
        <w:ind w:left="3960" w:hanging="360"/>
      </w:pPr>
    </w:lvl>
    <w:lvl w:ilvl="5" w:tplc="F36641AC" w:tentative="1">
      <w:start w:val="1"/>
      <w:numFmt w:val="lowerRoman"/>
      <w:lvlText w:val="%6."/>
      <w:lvlJc w:val="right"/>
      <w:pPr>
        <w:tabs>
          <w:tab w:val="num" w:pos="4680"/>
        </w:tabs>
        <w:ind w:left="4680" w:hanging="180"/>
      </w:pPr>
    </w:lvl>
    <w:lvl w:ilvl="6" w:tplc="BA42F084" w:tentative="1">
      <w:start w:val="1"/>
      <w:numFmt w:val="decimal"/>
      <w:lvlText w:val="%7."/>
      <w:lvlJc w:val="left"/>
      <w:pPr>
        <w:tabs>
          <w:tab w:val="num" w:pos="5400"/>
        </w:tabs>
        <w:ind w:left="5400" w:hanging="360"/>
      </w:pPr>
    </w:lvl>
    <w:lvl w:ilvl="7" w:tplc="9E1E8DEA" w:tentative="1">
      <w:start w:val="1"/>
      <w:numFmt w:val="lowerLetter"/>
      <w:lvlText w:val="%8."/>
      <w:lvlJc w:val="left"/>
      <w:pPr>
        <w:tabs>
          <w:tab w:val="num" w:pos="6120"/>
        </w:tabs>
        <w:ind w:left="6120" w:hanging="360"/>
      </w:pPr>
    </w:lvl>
    <w:lvl w:ilvl="8" w:tplc="AE3A9C88" w:tentative="1">
      <w:start w:val="1"/>
      <w:numFmt w:val="lowerRoman"/>
      <w:lvlText w:val="%9."/>
      <w:lvlJc w:val="right"/>
      <w:pPr>
        <w:tabs>
          <w:tab w:val="num" w:pos="6840"/>
        </w:tabs>
        <w:ind w:left="6840" w:hanging="180"/>
      </w:pPr>
    </w:lvl>
  </w:abstractNum>
  <w:abstractNum w:abstractNumId="5">
    <w:nsid w:val="12767F01"/>
    <w:multiLevelType w:val="hybridMultilevel"/>
    <w:tmpl w:val="3516E58C"/>
    <w:lvl w:ilvl="0" w:tplc="7D7A10F0">
      <w:start w:val="1"/>
      <w:numFmt w:val="decimal"/>
      <w:lvlText w:val="%1."/>
      <w:lvlJc w:val="left"/>
      <w:pPr>
        <w:tabs>
          <w:tab w:val="num" w:pos="1440"/>
        </w:tabs>
        <w:ind w:left="1440" w:hanging="360"/>
      </w:pPr>
      <w:rPr>
        <w:rFonts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46449"/>
    <w:multiLevelType w:val="multilevel"/>
    <w:tmpl w:val="FC62F028"/>
    <w:lvl w:ilvl="0">
      <w:start w:val="1"/>
      <w:numFmt w:val="upperRoman"/>
      <w:lvlText w:val="%1)"/>
      <w:lvlJc w:val="right"/>
      <w:pPr>
        <w:tabs>
          <w:tab w:val="num" w:pos="1800"/>
        </w:tabs>
        <w:ind w:left="1800" w:hanging="360"/>
      </w:pPr>
      <w:rPr>
        <w:rFonts w:ascii="Georgia" w:hAnsi="Georgia" w:hint="default"/>
        <w:b/>
        <w:i w:val="0"/>
        <w:color w:val="auto"/>
        <w:sz w:val="24"/>
        <w:u w:val="none"/>
      </w:rPr>
    </w:lvl>
    <w:lvl w:ilvl="1">
      <w:start w:val="1"/>
      <w:numFmt w:val="upperLetter"/>
      <w:lvlText w:val="%2)"/>
      <w:lvlJc w:val="right"/>
      <w:pPr>
        <w:tabs>
          <w:tab w:val="num" w:pos="2880"/>
        </w:tabs>
        <w:ind w:left="2880" w:hanging="720"/>
      </w:pPr>
      <w:rPr>
        <w:rFonts w:ascii="Georgia" w:hAnsi="Georgia" w:hint="default"/>
        <w:sz w:val="24"/>
        <w:u w:val="none"/>
      </w:rPr>
    </w:lvl>
    <w:lvl w:ilvl="2">
      <w:start w:val="1"/>
      <w:numFmt w:val="lowerLetter"/>
      <w:lvlText w:val="%3)"/>
      <w:lvlJc w:val="right"/>
      <w:pPr>
        <w:tabs>
          <w:tab w:val="num" w:pos="3600"/>
        </w:tabs>
        <w:ind w:left="3600" w:hanging="720"/>
      </w:pPr>
      <w:rPr>
        <w:rFonts w:ascii="Georgia" w:hAnsi="Georgia" w:hint="default"/>
        <w:sz w:val="24"/>
      </w:rPr>
    </w:lvl>
    <w:lvl w:ilvl="3">
      <w:start w:val="1"/>
      <w:numFmt w:val="lowerRoman"/>
      <w:lvlText w:val="(%4)"/>
      <w:lvlJc w:val="right"/>
      <w:pPr>
        <w:tabs>
          <w:tab w:val="num" w:pos="5040"/>
        </w:tabs>
        <w:ind w:left="5040" w:hanging="720"/>
      </w:pPr>
      <w:rPr>
        <w:rFonts w:ascii="Georgia" w:hAnsi="Georgia" w:hint="default"/>
        <w:sz w:val="24"/>
      </w:rPr>
    </w:lvl>
    <w:lvl w:ilvl="4">
      <w:start w:val="1"/>
      <w:numFmt w:val="upperLetter"/>
      <w:lvlText w:val="(%5)"/>
      <w:lvlJc w:val="right"/>
      <w:pPr>
        <w:tabs>
          <w:tab w:val="num" w:pos="5760"/>
        </w:tabs>
        <w:ind w:left="5760" w:hanging="720"/>
      </w:pPr>
      <w:rPr>
        <w:rFonts w:ascii="Georgia" w:hAnsi="Georgia" w:hint="default"/>
        <w:sz w:val="24"/>
      </w:rPr>
    </w:lvl>
    <w:lvl w:ilvl="5">
      <w:start w:val="1"/>
      <w:numFmt w:val="lowerLetter"/>
      <w:lvlText w:val="(%6)"/>
      <w:lvlJc w:val="right"/>
      <w:pPr>
        <w:tabs>
          <w:tab w:val="num" w:pos="6480"/>
        </w:tabs>
        <w:ind w:left="6480" w:hanging="720"/>
      </w:pPr>
      <w:rPr>
        <w:rFonts w:ascii="Georgia" w:hAnsi="Georgia" w:hint="default"/>
        <w:sz w:val="24"/>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19A03E7C"/>
    <w:multiLevelType w:val="hybridMultilevel"/>
    <w:tmpl w:val="9E1651BA"/>
    <w:lvl w:ilvl="0" w:tplc="956A6F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CA92383"/>
    <w:multiLevelType w:val="hybridMultilevel"/>
    <w:tmpl w:val="AC328F7E"/>
    <w:lvl w:ilvl="0" w:tplc="768082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FBD4EEB"/>
    <w:multiLevelType w:val="multilevel"/>
    <w:tmpl w:val="10D06C18"/>
    <w:numStyleLink w:val="AgendaAOC"/>
  </w:abstractNum>
  <w:abstractNum w:abstractNumId="10">
    <w:nsid w:val="210446ED"/>
    <w:multiLevelType w:val="hybridMultilevel"/>
    <w:tmpl w:val="5BBCD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BA3973"/>
    <w:multiLevelType w:val="hybridMultilevel"/>
    <w:tmpl w:val="4CD05BFA"/>
    <w:lvl w:ilvl="0" w:tplc="FDFC73D6">
      <w:start w:val="1"/>
      <w:numFmt w:val="upperLetter"/>
      <w:lvlText w:val="%1."/>
      <w:lvlJc w:val="left"/>
      <w:pPr>
        <w:ind w:left="1440" w:hanging="720"/>
      </w:pPr>
      <w:rPr>
        <w:rFonts w:hint="default"/>
      </w:r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F565A7"/>
    <w:multiLevelType w:val="multilevel"/>
    <w:tmpl w:val="10D06C18"/>
    <w:numStyleLink w:val="AgendaAOC"/>
  </w:abstractNum>
  <w:abstractNum w:abstractNumId="13">
    <w:nsid w:val="27FC1AF0"/>
    <w:multiLevelType w:val="multilevel"/>
    <w:tmpl w:val="10D06C18"/>
    <w:styleLink w:val="AgendaAOC"/>
    <w:lvl w:ilvl="0">
      <w:start w:val="1"/>
      <w:numFmt w:val="upperRoman"/>
      <w:lvlText w:val="%1)"/>
      <w:lvlJc w:val="right"/>
      <w:pPr>
        <w:tabs>
          <w:tab w:val="num" w:pos="1800"/>
        </w:tabs>
        <w:ind w:left="1800" w:hanging="360"/>
      </w:pPr>
      <w:rPr>
        <w:rFonts w:ascii="Georgia" w:hAnsi="Georgia" w:hint="default"/>
        <w:b/>
        <w:i w:val="0"/>
        <w:color w:val="auto"/>
        <w:sz w:val="24"/>
        <w:u w:val="none"/>
      </w:rPr>
    </w:lvl>
    <w:lvl w:ilvl="1">
      <w:start w:val="1"/>
      <w:numFmt w:val="upperLetter"/>
      <w:lvlText w:val="%2)"/>
      <w:lvlJc w:val="right"/>
      <w:pPr>
        <w:tabs>
          <w:tab w:val="num" w:pos="2880"/>
        </w:tabs>
        <w:ind w:left="2880" w:hanging="720"/>
      </w:pPr>
      <w:rPr>
        <w:rFonts w:ascii="Georgia" w:hAnsi="Georgia" w:hint="default"/>
        <w:sz w:val="24"/>
        <w:u w:val="none"/>
      </w:rPr>
    </w:lvl>
    <w:lvl w:ilvl="2">
      <w:start w:val="1"/>
      <w:numFmt w:val="lowerLetter"/>
      <w:lvlText w:val="%3)"/>
      <w:lvlJc w:val="right"/>
      <w:pPr>
        <w:tabs>
          <w:tab w:val="num" w:pos="3600"/>
        </w:tabs>
        <w:ind w:left="3600" w:hanging="720"/>
      </w:pPr>
      <w:rPr>
        <w:rFonts w:ascii="Georgia" w:hAnsi="Georgia" w:hint="default"/>
        <w:sz w:val="24"/>
      </w:rPr>
    </w:lvl>
    <w:lvl w:ilvl="3">
      <w:start w:val="1"/>
      <w:numFmt w:val="lowerRoman"/>
      <w:lvlText w:val="(%4)"/>
      <w:lvlJc w:val="right"/>
      <w:pPr>
        <w:tabs>
          <w:tab w:val="num" w:pos="5040"/>
        </w:tabs>
        <w:ind w:left="5040" w:hanging="720"/>
      </w:pPr>
      <w:rPr>
        <w:rFonts w:ascii="Georgia" w:hAnsi="Georgia" w:hint="default"/>
        <w:sz w:val="24"/>
      </w:rPr>
    </w:lvl>
    <w:lvl w:ilvl="4">
      <w:start w:val="1"/>
      <w:numFmt w:val="upperLetter"/>
      <w:lvlText w:val="(%5)"/>
      <w:lvlJc w:val="right"/>
      <w:pPr>
        <w:tabs>
          <w:tab w:val="num" w:pos="5760"/>
        </w:tabs>
        <w:ind w:left="5760" w:hanging="720"/>
      </w:pPr>
      <w:rPr>
        <w:rFonts w:ascii="Georgia" w:hAnsi="Georgia" w:hint="default"/>
        <w:sz w:val="24"/>
      </w:rPr>
    </w:lvl>
    <w:lvl w:ilvl="5">
      <w:start w:val="1"/>
      <w:numFmt w:val="lowerLetter"/>
      <w:lvlText w:val="(%6)"/>
      <w:lvlJc w:val="right"/>
      <w:pPr>
        <w:tabs>
          <w:tab w:val="num" w:pos="6480"/>
        </w:tabs>
        <w:ind w:left="6480" w:hanging="720"/>
      </w:pPr>
      <w:rPr>
        <w:rFonts w:ascii="Georgia" w:hAnsi="Georgia" w:hint="default"/>
        <w:sz w:val="24"/>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28BA10FE"/>
    <w:multiLevelType w:val="hybridMultilevel"/>
    <w:tmpl w:val="03AE9E7C"/>
    <w:lvl w:ilvl="0" w:tplc="E744DA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9BC5EA0"/>
    <w:multiLevelType w:val="multilevel"/>
    <w:tmpl w:val="FC62F028"/>
    <w:lvl w:ilvl="0">
      <w:start w:val="1"/>
      <w:numFmt w:val="upperRoman"/>
      <w:lvlText w:val="%1)"/>
      <w:lvlJc w:val="right"/>
      <w:pPr>
        <w:tabs>
          <w:tab w:val="num" w:pos="1800"/>
        </w:tabs>
        <w:ind w:left="1800" w:hanging="360"/>
      </w:pPr>
      <w:rPr>
        <w:rFonts w:ascii="Georgia" w:hAnsi="Georgia" w:hint="default"/>
        <w:b/>
        <w:i w:val="0"/>
        <w:color w:val="auto"/>
        <w:sz w:val="24"/>
        <w:u w:val="none"/>
      </w:rPr>
    </w:lvl>
    <w:lvl w:ilvl="1">
      <w:start w:val="1"/>
      <w:numFmt w:val="upperLetter"/>
      <w:lvlText w:val="%2)"/>
      <w:lvlJc w:val="right"/>
      <w:pPr>
        <w:tabs>
          <w:tab w:val="num" w:pos="2880"/>
        </w:tabs>
        <w:ind w:left="2880" w:hanging="720"/>
      </w:pPr>
      <w:rPr>
        <w:rFonts w:ascii="Georgia" w:hAnsi="Georgia" w:hint="default"/>
        <w:sz w:val="24"/>
        <w:u w:val="none"/>
      </w:rPr>
    </w:lvl>
    <w:lvl w:ilvl="2">
      <w:start w:val="1"/>
      <w:numFmt w:val="lowerLetter"/>
      <w:lvlText w:val="%3)"/>
      <w:lvlJc w:val="right"/>
      <w:pPr>
        <w:tabs>
          <w:tab w:val="num" w:pos="3600"/>
        </w:tabs>
        <w:ind w:left="3600" w:hanging="720"/>
      </w:pPr>
      <w:rPr>
        <w:rFonts w:ascii="Georgia" w:hAnsi="Georgia" w:hint="default"/>
        <w:sz w:val="24"/>
      </w:rPr>
    </w:lvl>
    <w:lvl w:ilvl="3">
      <w:start w:val="1"/>
      <w:numFmt w:val="lowerRoman"/>
      <w:lvlText w:val="(%4)"/>
      <w:lvlJc w:val="right"/>
      <w:pPr>
        <w:tabs>
          <w:tab w:val="num" w:pos="5040"/>
        </w:tabs>
        <w:ind w:left="5040" w:hanging="720"/>
      </w:pPr>
      <w:rPr>
        <w:rFonts w:ascii="Georgia" w:hAnsi="Georgia" w:hint="default"/>
        <w:sz w:val="24"/>
      </w:rPr>
    </w:lvl>
    <w:lvl w:ilvl="4">
      <w:start w:val="1"/>
      <w:numFmt w:val="upperLetter"/>
      <w:lvlText w:val="(%5)"/>
      <w:lvlJc w:val="right"/>
      <w:pPr>
        <w:tabs>
          <w:tab w:val="num" w:pos="5760"/>
        </w:tabs>
        <w:ind w:left="5760" w:hanging="720"/>
      </w:pPr>
      <w:rPr>
        <w:rFonts w:ascii="Georgia" w:hAnsi="Georgia" w:hint="default"/>
        <w:sz w:val="24"/>
      </w:rPr>
    </w:lvl>
    <w:lvl w:ilvl="5">
      <w:start w:val="1"/>
      <w:numFmt w:val="lowerLetter"/>
      <w:lvlText w:val="(%6)"/>
      <w:lvlJc w:val="right"/>
      <w:pPr>
        <w:tabs>
          <w:tab w:val="num" w:pos="6480"/>
        </w:tabs>
        <w:ind w:left="6480" w:hanging="720"/>
      </w:pPr>
      <w:rPr>
        <w:rFonts w:ascii="Georgia" w:hAnsi="Georgia" w:hint="default"/>
        <w:sz w:val="24"/>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nsid w:val="2E220531"/>
    <w:multiLevelType w:val="hybridMultilevel"/>
    <w:tmpl w:val="E9146280"/>
    <w:lvl w:ilvl="0" w:tplc="FDFC73D6">
      <w:start w:val="1"/>
      <w:numFmt w:val="upperLetter"/>
      <w:lvlText w:val="%1."/>
      <w:lvlJc w:val="left"/>
      <w:pPr>
        <w:ind w:left="1440" w:hanging="720"/>
      </w:pPr>
      <w:rPr>
        <w:rFonts w:hint="default"/>
      </w:rPr>
    </w:lvl>
    <w:lvl w:ilvl="1" w:tplc="D11839D2">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82070A"/>
    <w:multiLevelType w:val="multilevel"/>
    <w:tmpl w:val="10D06C18"/>
    <w:numStyleLink w:val="AgendaAOC"/>
  </w:abstractNum>
  <w:abstractNum w:abstractNumId="18">
    <w:nsid w:val="3CBA6C17"/>
    <w:multiLevelType w:val="hybridMultilevel"/>
    <w:tmpl w:val="C1B27A1A"/>
    <w:lvl w:ilvl="0" w:tplc="F83009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CC5859"/>
    <w:multiLevelType w:val="hybridMultilevel"/>
    <w:tmpl w:val="87508C1E"/>
    <w:lvl w:ilvl="0" w:tplc="8842BF8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3611FDE"/>
    <w:multiLevelType w:val="hybridMultilevel"/>
    <w:tmpl w:val="61FA49CC"/>
    <w:lvl w:ilvl="0" w:tplc="A852DA04">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70398A"/>
    <w:multiLevelType w:val="hybridMultilevel"/>
    <w:tmpl w:val="44BC6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0702C"/>
    <w:multiLevelType w:val="multilevel"/>
    <w:tmpl w:val="E23CA6BC"/>
    <w:lvl w:ilvl="0">
      <w:start w:val="1"/>
      <w:numFmt w:val="upperRoman"/>
      <w:lvlText w:val="%1."/>
      <w:lvlJc w:val="right"/>
      <w:pPr>
        <w:tabs>
          <w:tab w:val="num" w:pos="1440"/>
        </w:tabs>
        <w:ind w:left="1440" w:hanging="720"/>
      </w:pPr>
      <w:rPr>
        <w:rFonts w:ascii="Georgia" w:hAnsi="Georgia" w:hint="default"/>
        <w:b/>
        <w:i w:val="0"/>
        <w:color w:val="auto"/>
        <w:sz w:val="22"/>
        <w:szCs w:val="22"/>
        <w:u w:val="none"/>
      </w:rPr>
    </w:lvl>
    <w:lvl w:ilvl="1">
      <w:start w:val="1"/>
      <w:numFmt w:val="upperLetter"/>
      <w:lvlText w:val="%2."/>
      <w:lvlJc w:val="left"/>
      <w:pPr>
        <w:tabs>
          <w:tab w:val="num" w:pos="1800"/>
        </w:tabs>
        <w:ind w:left="2232" w:hanging="792"/>
      </w:pPr>
      <w:rPr>
        <w:rFonts w:ascii="Georgia" w:hAnsi="Georgia" w:hint="default"/>
        <w:b/>
        <w:i w:val="0"/>
        <w:sz w:val="22"/>
        <w:szCs w:val="22"/>
        <w:u w:val="none"/>
      </w:rPr>
    </w:lvl>
    <w:lvl w:ilvl="2">
      <w:start w:val="1"/>
      <w:numFmt w:val="decimal"/>
      <w:lvlText w:val="%3."/>
      <w:lvlJc w:val="left"/>
      <w:pPr>
        <w:tabs>
          <w:tab w:val="num" w:pos="2160"/>
        </w:tabs>
        <w:ind w:left="2160" w:hanging="360"/>
      </w:pPr>
      <w:rPr>
        <w:rFonts w:hint="default"/>
        <w:b w:val="0"/>
        <w:i w:val="0"/>
        <w:strike w:val="0"/>
        <w:dstrike w:val="0"/>
        <w:color w:val="auto"/>
        <w:sz w:val="24"/>
      </w:rPr>
    </w:lvl>
    <w:lvl w:ilvl="3">
      <w:start w:val="1"/>
      <w:numFmt w:val="lowerLetter"/>
      <w:lvlText w:val="%4."/>
      <w:lvlJc w:val="left"/>
      <w:pPr>
        <w:tabs>
          <w:tab w:val="num" w:pos="3312"/>
        </w:tabs>
        <w:ind w:left="3312" w:hanging="605"/>
      </w:pPr>
      <w:rPr>
        <w:rFonts w:hint="default"/>
        <w:sz w:val="24"/>
      </w:rPr>
    </w:lvl>
    <w:lvl w:ilvl="4">
      <w:start w:val="1"/>
      <w:numFmt w:val="lowerLetter"/>
      <w:lvlText w:val="%5."/>
      <w:lvlJc w:val="left"/>
      <w:pPr>
        <w:tabs>
          <w:tab w:val="num" w:pos="3600"/>
        </w:tabs>
        <w:ind w:left="3600" w:hanging="360"/>
      </w:pPr>
      <w:rPr>
        <w:rFonts w:hint="default"/>
        <w:sz w:val="24"/>
      </w:rPr>
    </w:lvl>
    <w:lvl w:ilvl="5">
      <w:start w:val="1"/>
      <w:numFmt w:val="lowerRoman"/>
      <w:lvlText w:val="%6."/>
      <w:lvlJc w:val="right"/>
      <w:pPr>
        <w:tabs>
          <w:tab w:val="num" w:pos="4320"/>
        </w:tabs>
        <w:ind w:left="4320" w:hanging="180"/>
      </w:pPr>
      <w:rPr>
        <w:rFonts w:hint="default"/>
        <w:sz w:val="24"/>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58CF4B26"/>
    <w:multiLevelType w:val="hybridMultilevel"/>
    <w:tmpl w:val="1E6EC524"/>
    <w:lvl w:ilvl="0" w:tplc="540E005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B1E512F"/>
    <w:multiLevelType w:val="hybridMultilevel"/>
    <w:tmpl w:val="910E5AE6"/>
    <w:lvl w:ilvl="0" w:tplc="48040EC4">
      <w:start w:val="1"/>
      <w:numFmt w:val="upperRoman"/>
      <w:lvlText w:val="%1."/>
      <w:lvlJc w:val="left"/>
      <w:pPr>
        <w:ind w:left="2520" w:hanging="720"/>
      </w:pPr>
      <w:rPr>
        <w:rFonts w:hint="default"/>
      </w:rPr>
    </w:lvl>
    <w:lvl w:ilvl="1" w:tplc="D11839D2">
      <w:start w:val="1"/>
      <w:numFmt w:val="upperLetter"/>
      <w:lvlText w:val="%2."/>
      <w:lvlJc w:val="left"/>
      <w:pPr>
        <w:ind w:left="288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B661E17"/>
    <w:multiLevelType w:val="hybridMultilevel"/>
    <w:tmpl w:val="28EE8B86"/>
    <w:lvl w:ilvl="0" w:tplc="6B32E3B4">
      <w:start w:val="1"/>
      <w:numFmt w:val="upperLetter"/>
      <w:lvlText w:val="%1."/>
      <w:lvlJc w:val="left"/>
      <w:pPr>
        <w:ind w:left="1440" w:hanging="720"/>
      </w:pPr>
      <w:rPr>
        <w:rFonts w:hint="default"/>
        <w:color w:val="auto"/>
      </w:rPr>
    </w:lvl>
    <w:lvl w:ilvl="1" w:tplc="D11839D2">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1E3F45"/>
    <w:multiLevelType w:val="hybridMultilevel"/>
    <w:tmpl w:val="5C8E1510"/>
    <w:lvl w:ilvl="0" w:tplc="48040EC4">
      <w:start w:val="1"/>
      <w:numFmt w:val="upperRoman"/>
      <w:lvlText w:val="%1."/>
      <w:lvlJc w:val="left"/>
      <w:pPr>
        <w:ind w:left="2520" w:hanging="720"/>
      </w:pPr>
      <w:rPr>
        <w:rFonts w:hint="default"/>
      </w:rPr>
    </w:lvl>
    <w:lvl w:ilvl="1" w:tplc="D11839D2">
      <w:start w:val="1"/>
      <w:numFmt w:val="upperLetter"/>
      <w:lvlText w:val="%2."/>
      <w:lvlJc w:val="left"/>
      <w:pPr>
        <w:ind w:left="288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DE1480B"/>
    <w:multiLevelType w:val="hybridMultilevel"/>
    <w:tmpl w:val="4B125150"/>
    <w:lvl w:ilvl="0" w:tplc="68B8C52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00A1E83"/>
    <w:multiLevelType w:val="hybridMultilevel"/>
    <w:tmpl w:val="1860A058"/>
    <w:lvl w:ilvl="0" w:tplc="0409000F">
      <w:start w:val="1"/>
      <w:numFmt w:val="decimal"/>
      <w:lvlText w:val="%1."/>
      <w:lvlJc w:val="left"/>
      <w:pPr>
        <w:tabs>
          <w:tab w:val="num" w:pos="720"/>
        </w:tabs>
        <w:ind w:left="720" w:hanging="360"/>
      </w:pPr>
      <w:rPr>
        <w:rFonts w:hint="default"/>
      </w:rPr>
    </w:lvl>
    <w:lvl w:ilvl="1" w:tplc="7D7A10F0">
      <w:start w:val="1"/>
      <w:numFmt w:val="decimal"/>
      <w:lvlText w:val="%2."/>
      <w:lvlJc w:val="left"/>
      <w:pPr>
        <w:tabs>
          <w:tab w:val="num" w:pos="1440"/>
        </w:tabs>
        <w:ind w:left="1440" w:hanging="360"/>
      </w:pPr>
      <w:rPr>
        <w:rFonts w:hint="default"/>
        <w:strike w:val="0"/>
        <w:dstrike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AB14A5"/>
    <w:multiLevelType w:val="hybridMultilevel"/>
    <w:tmpl w:val="2032AA7C"/>
    <w:lvl w:ilvl="0" w:tplc="8AFC4D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AE06A1C"/>
    <w:multiLevelType w:val="multilevel"/>
    <w:tmpl w:val="10D06C18"/>
    <w:numStyleLink w:val="AgendaAOC"/>
  </w:abstractNum>
  <w:abstractNum w:abstractNumId="31">
    <w:nsid w:val="6F513935"/>
    <w:multiLevelType w:val="hybridMultilevel"/>
    <w:tmpl w:val="B2B6A74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17E3B0C"/>
    <w:multiLevelType w:val="hybridMultilevel"/>
    <w:tmpl w:val="9652566C"/>
    <w:lvl w:ilvl="0" w:tplc="FE5A85AC">
      <w:start w:val="1"/>
      <w:numFmt w:val="lowerLetter"/>
      <w:lvlText w:val="%1."/>
      <w:lvlJc w:val="left"/>
      <w:pPr>
        <w:ind w:left="2160" w:hanging="360"/>
      </w:pPr>
      <w:rPr>
        <w:rFonts w:ascii="Georgia" w:eastAsia="Times New Roman" w:hAnsi="Georgia"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79FA50D4"/>
    <w:multiLevelType w:val="hybridMultilevel"/>
    <w:tmpl w:val="51F248E6"/>
    <w:lvl w:ilvl="0" w:tplc="DF6CAF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AEE51F7"/>
    <w:multiLevelType w:val="multilevel"/>
    <w:tmpl w:val="FC62F028"/>
    <w:lvl w:ilvl="0">
      <w:start w:val="1"/>
      <w:numFmt w:val="upperRoman"/>
      <w:lvlText w:val="%1)"/>
      <w:lvlJc w:val="right"/>
      <w:pPr>
        <w:tabs>
          <w:tab w:val="num" w:pos="1800"/>
        </w:tabs>
        <w:ind w:left="1800" w:hanging="360"/>
      </w:pPr>
      <w:rPr>
        <w:rFonts w:ascii="Georgia" w:hAnsi="Georgia" w:hint="default"/>
        <w:b/>
        <w:i w:val="0"/>
        <w:color w:val="auto"/>
        <w:sz w:val="24"/>
        <w:u w:val="none"/>
      </w:rPr>
    </w:lvl>
    <w:lvl w:ilvl="1">
      <w:start w:val="1"/>
      <w:numFmt w:val="upperLetter"/>
      <w:lvlText w:val="%2)"/>
      <w:lvlJc w:val="right"/>
      <w:pPr>
        <w:tabs>
          <w:tab w:val="num" w:pos="2880"/>
        </w:tabs>
        <w:ind w:left="2880" w:hanging="720"/>
      </w:pPr>
      <w:rPr>
        <w:rFonts w:ascii="Georgia" w:hAnsi="Georgia" w:hint="default"/>
        <w:sz w:val="24"/>
        <w:u w:val="none"/>
      </w:rPr>
    </w:lvl>
    <w:lvl w:ilvl="2">
      <w:start w:val="1"/>
      <w:numFmt w:val="lowerLetter"/>
      <w:lvlText w:val="%3)"/>
      <w:lvlJc w:val="right"/>
      <w:pPr>
        <w:tabs>
          <w:tab w:val="num" w:pos="3600"/>
        </w:tabs>
        <w:ind w:left="3600" w:hanging="720"/>
      </w:pPr>
      <w:rPr>
        <w:rFonts w:ascii="Georgia" w:hAnsi="Georgia" w:hint="default"/>
        <w:sz w:val="24"/>
      </w:rPr>
    </w:lvl>
    <w:lvl w:ilvl="3">
      <w:start w:val="1"/>
      <w:numFmt w:val="lowerRoman"/>
      <w:lvlText w:val="(%4)"/>
      <w:lvlJc w:val="right"/>
      <w:pPr>
        <w:tabs>
          <w:tab w:val="num" w:pos="5040"/>
        </w:tabs>
        <w:ind w:left="5040" w:hanging="720"/>
      </w:pPr>
      <w:rPr>
        <w:rFonts w:ascii="Georgia" w:hAnsi="Georgia" w:hint="default"/>
        <w:sz w:val="24"/>
      </w:rPr>
    </w:lvl>
    <w:lvl w:ilvl="4">
      <w:start w:val="1"/>
      <w:numFmt w:val="upperLetter"/>
      <w:lvlText w:val="(%5)"/>
      <w:lvlJc w:val="right"/>
      <w:pPr>
        <w:tabs>
          <w:tab w:val="num" w:pos="5760"/>
        </w:tabs>
        <w:ind w:left="5760" w:hanging="720"/>
      </w:pPr>
      <w:rPr>
        <w:rFonts w:ascii="Georgia" w:hAnsi="Georgia" w:hint="default"/>
        <w:sz w:val="24"/>
      </w:rPr>
    </w:lvl>
    <w:lvl w:ilvl="5">
      <w:start w:val="1"/>
      <w:numFmt w:val="lowerLetter"/>
      <w:lvlText w:val="(%6)"/>
      <w:lvlJc w:val="right"/>
      <w:pPr>
        <w:tabs>
          <w:tab w:val="num" w:pos="6480"/>
        </w:tabs>
        <w:ind w:left="6480" w:hanging="720"/>
      </w:pPr>
      <w:rPr>
        <w:rFonts w:ascii="Georgia" w:hAnsi="Georgia" w:hint="default"/>
        <w:sz w:val="24"/>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5">
    <w:nsid w:val="7CC6193D"/>
    <w:multiLevelType w:val="singleLevel"/>
    <w:tmpl w:val="04090013"/>
    <w:lvl w:ilvl="0">
      <w:start w:val="1"/>
      <w:numFmt w:val="upperRoman"/>
      <w:lvlText w:val="%1."/>
      <w:lvlJc w:val="right"/>
      <w:pPr>
        <w:tabs>
          <w:tab w:val="num" w:pos="1800"/>
        </w:tabs>
        <w:ind w:left="1800" w:hanging="360"/>
      </w:pPr>
      <w:rPr>
        <w:rFonts w:hint="default"/>
        <w:b/>
        <w:i w:val="0"/>
        <w:color w:val="auto"/>
        <w:sz w:val="24"/>
        <w:u w:val="none"/>
      </w:rPr>
    </w:lvl>
  </w:abstractNum>
  <w:num w:numId="1">
    <w:abstractNumId w:val="1"/>
  </w:num>
  <w:num w:numId="2">
    <w:abstractNumId w:val="13"/>
  </w:num>
  <w:num w:numId="3">
    <w:abstractNumId w:val="12"/>
  </w:num>
  <w:num w:numId="4">
    <w:abstractNumId w:val="4"/>
  </w:num>
  <w:num w:numId="5">
    <w:abstractNumId w:val="17"/>
  </w:num>
  <w:num w:numId="6">
    <w:abstractNumId w:val="15"/>
  </w:num>
  <w:num w:numId="7">
    <w:abstractNumId w:val="30"/>
  </w:num>
  <w:num w:numId="8">
    <w:abstractNumId w:val="6"/>
  </w:num>
  <w:num w:numId="9">
    <w:abstractNumId w:val="9"/>
  </w:num>
  <w:num w:numId="10">
    <w:abstractNumId w:val="34"/>
  </w:num>
  <w:num w:numId="11">
    <w:abstractNumId w:val="22"/>
  </w:num>
  <w:num w:numId="12">
    <w:abstractNumId w:val="35"/>
  </w:num>
  <w:num w:numId="13">
    <w:abstractNumId w:val="23"/>
  </w:num>
  <w:num w:numId="14">
    <w:abstractNumId w:val="19"/>
  </w:num>
  <w:num w:numId="15">
    <w:abstractNumId w:val="27"/>
  </w:num>
  <w:num w:numId="16">
    <w:abstractNumId w:val="31"/>
  </w:num>
  <w:num w:numId="17">
    <w:abstractNumId w:val="26"/>
  </w:num>
  <w:num w:numId="18">
    <w:abstractNumId w:val="25"/>
  </w:num>
  <w:num w:numId="19">
    <w:abstractNumId w:val="20"/>
  </w:num>
  <w:num w:numId="20">
    <w:abstractNumId w:val="16"/>
  </w:num>
  <w:num w:numId="21">
    <w:abstractNumId w:val="11"/>
  </w:num>
  <w:num w:numId="22">
    <w:abstractNumId w:val="7"/>
  </w:num>
  <w:num w:numId="23">
    <w:abstractNumId w:val="8"/>
  </w:num>
  <w:num w:numId="24">
    <w:abstractNumId w:val="32"/>
  </w:num>
  <w:num w:numId="25">
    <w:abstractNumId w:val="14"/>
  </w:num>
  <w:num w:numId="26">
    <w:abstractNumId w:val="24"/>
  </w:num>
  <w:num w:numId="27">
    <w:abstractNumId w:val="2"/>
  </w:num>
  <w:num w:numId="28">
    <w:abstractNumId w:val="0"/>
  </w:num>
  <w:num w:numId="29">
    <w:abstractNumId w:val="33"/>
  </w:num>
  <w:num w:numId="30">
    <w:abstractNumId w:val="29"/>
  </w:num>
  <w:num w:numId="31">
    <w:abstractNumId w:val="10"/>
  </w:num>
  <w:num w:numId="32">
    <w:abstractNumId w:val="28"/>
  </w:num>
  <w:num w:numId="33">
    <w:abstractNumId w:val="3"/>
  </w:num>
  <w:num w:numId="34">
    <w:abstractNumId w:val="5"/>
  </w:num>
  <w:num w:numId="35">
    <w:abstractNumId w:val="21"/>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trackRevisions/>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C11355"/>
    <w:rsid w:val="00000EC2"/>
    <w:rsid w:val="000036CC"/>
    <w:rsid w:val="000048C5"/>
    <w:rsid w:val="00006840"/>
    <w:rsid w:val="000119BA"/>
    <w:rsid w:val="000134D8"/>
    <w:rsid w:val="00022CA3"/>
    <w:rsid w:val="0002405B"/>
    <w:rsid w:val="000244CF"/>
    <w:rsid w:val="000253E2"/>
    <w:rsid w:val="0002631A"/>
    <w:rsid w:val="00032C1F"/>
    <w:rsid w:val="000365CF"/>
    <w:rsid w:val="0003721A"/>
    <w:rsid w:val="00037D25"/>
    <w:rsid w:val="00040DC1"/>
    <w:rsid w:val="00041909"/>
    <w:rsid w:val="0004375F"/>
    <w:rsid w:val="00045741"/>
    <w:rsid w:val="0004713B"/>
    <w:rsid w:val="00047449"/>
    <w:rsid w:val="00054AD2"/>
    <w:rsid w:val="00055C35"/>
    <w:rsid w:val="0005622F"/>
    <w:rsid w:val="00057A56"/>
    <w:rsid w:val="00062863"/>
    <w:rsid w:val="00074FC1"/>
    <w:rsid w:val="00080019"/>
    <w:rsid w:val="0009443C"/>
    <w:rsid w:val="000975E9"/>
    <w:rsid w:val="000A44F5"/>
    <w:rsid w:val="000A49A9"/>
    <w:rsid w:val="000A634C"/>
    <w:rsid w:val="000A6389"/>
    <w:rsid w:val="000C371B"/>
    <w:rsid w:val="000D0EDF"/>
    <w:rsid w:val="000D4073"/>
    <w:rsid w:val="000D5DA5"/>
    <w:rsid w:val="000D6326"/>
    <w:rsid w:val="000E6FF2"/>
    <w:rsid w:val="000F07DA"/>
    <w:rsid w:val="000F4549"/>
    <w:rsid w:val="000F5B47"/>
    <w:rsid w:val="000F6479"/>
    <w:rsid w:val="00113FDF"/>
    <w:rsid w:val="00117A0B"/>
    <w:rsid w:val="0012029B"/>
    <w:rsid w:val="00121596"/>
    <w:rsid w:val="00121C72"/>
    <w:rsid w:val="00123971"/>
    <w:rsid w:val="001270C1"/>
    <w:rsid w:val="00144050"/>
    <w:rsid w:val="00150AAF"/>
    <w:rsid w:val="001703F0"/>
    <w:rsid w:val="0017110C"/>
    <w:rsid w:val="00181D58"/>
    <w:rsid w:val="001965A8"/>
    <w:rsid w:val="0019769D"/>
    <w:rsid w:val="001979E6"/>
    <w:rsid w:val="001B0CB1"/>
    <w:rsid w:val="001B4723"/>
    <w:rsid w:val="001B49E6"/>
    <w:rsid w:val="001B576F"/>
    <w:rsid w:val="001B77E5"/>
    <w:rsid w:val="001C1914"/>
    <w:rsid w:val="001D0B97"/>
    <w:rsid w:val="001D1BF5"/>
    <w:rsid w:val="001F1F02"/>
    <w:rsid w:val="001F212B"/>
    <w:rsid w:val="001F399C"/>
    <w:rsid w:val="001F682E"/>
    <w:rsid w:val="002015FC"/>
    <w:rsid w:val="00203121"/>
    <w:rsid w:val="00203452"/>
    <w:rsid w:val="00213F1E"/>
    <w:rsid w:val="002204B5"/>
    <w:rsid w:val="00222F45"/>
    <w:rsid w:val="0022307E"/>
    <w:rsid w:val="00225370"/>
    <w:rsid w:val="0023166D"/>
    <w:rsid w:val="00236F60"/>
    <w:rsid w:val="00236FF7"/>
    <w:rsid w:val="002377E0"/>
    <w:rsid w:val="00245971"/>
    <w:rsid w:val="00252A4C"/>
    <w:rsid w:val="00255A44"/>
    <w:rsid w:val="00257E46"/>
    <w:rsid w:val="00262667"/>
    <w:rsid w:val="00280D9D"/>
    <w:rsid w:val="00284380"/>
    <w:rsid w:val="0028582F"/>
    <w:rsid w:val="0029025D"/>
    <w:rsid w:val="00290AF0"/>
    <w:rsid w:val="00295C9B"/>
    <w:rsid w:val="002A5E3C"/>
    <w:rsid w:val="002B1A8C"/>
    <w:rsid w:val="002B5473"/>
    <w:rsid w:val="002B78CC"/>
    <w:rsid w:val="002B7EAA"/>
    <w:rsid w:val="002C1FB1"/>
    <w:rsid w:val="002C3B3E"/>
    <w:rsid w:val="002C3D28"/>
    <w:rsid w:val="002C7B8E"/>
    <w:rsid w:val="002D21DF"/>
    <w:rsid w:val="002D49DD"/>
    <w:rsid w:val="002D5E4A"/>
    <w:rsid w:val="002E03F9"/>
    <w:rsid w:val="002E4431"/>
    <w:rsid w:val="002E6037"/>
    <w:rsid w:val="002F0631"/>
    <w:rsid w:val="002F180A"/>
    <w:rsid w:val="002F1A9F"/>
    <w:rsid w:val="002F42DD"/>
    <w:rsid w:val="00302E14"/>
    <w:rsid w:val="00306EEB"/>
    <w:rsid w:val="003074A6"/>
    <w:rsid w:val="00307F79"/>
    <w:rsid w:val="00315176"/>
    <w:rsid w:val="00316302"/>
    <w:rsid w:val="00316CEA"/>
    <w:rsid w:val="00321C3D"/>
    <w:rsid w:val="00331B3E"/>
    <w:rsid w:val="00332C7D"/>
    <w:rsid w:val="00334C3C"/>
    <w:rsid w:val="00334CE4"/>
    <w:rsid w:val="00340380"/>
    <w:rsid w:val="0035066A"/>
    <w:rsid w:val="00353B01"/>
    <w:rsid w:val="00355DF7"/>
    <w:rsid w:val="00364A57"/>
    <w:rsid w:val="00365063"/>
    <w:rsid w:val="003653AD"/>
    <w:rsid w:val="00381FC4"/>
    <w:rsid w:val="00383A8E"/>
    <w:rsid w:val="00384D5B"/>
    <w:rsid w:val="003863E7"/>
    <w:rsid w:val="00387946"/>
    <w:rsid w:val="0039625E"/>
    <w:rsid w:val="003A51D8"/>
    <w:rsid w:val="003A55F4"/>
    <w:rsid w:val="003B2C17"/>
    <w:rsid w:val="003B37A6"/>
    <w:rsid w:val="003B3C0A"/>
    <w:rsid w:val="003C400D"/>
    <w:rsid w:val="003D3981"/>
    <w:rsid w:val="003D3E5E"/>
    <w:rsid w:val="003E1C89"/>
    <w:rsid w:val="003E23A5"/>
    <w:rsid w:val="003F0F8F"/>
    <w:rsid w:val="0040413E"/>
    <w:rsid w:val="00404FD2"/>
    <w:rsid w:val="004145E8"/>
    <w:rsid w:val="0042113D"/>
    <w:rsid w:val="00423152"/>
    <w:rsid w:val="00424B21"/>
    <w:rsid w:val="00427E9A"/>
    <w:rsid w:val="00432103"/>
    <w:rsid w:val="00432686"/>
    <w:rsid w:val="00441784"/>
    <w:rsid w:val="00443920"/>
    <w:rsid w:val="00445351"/>
    <w:rsid w:val="00445B3D"/>
    <w:rsid w:val="00447CD4"/>
    <w:rsid w:val="004531F3"/>
    <w:rsid w:val="00455A7F"/>
    <w:rsid w:val="004565BE"/>
    <w:rsid w:val="004569BF"/>
    <w:rsid w:val="00464855"/>
    <w:rsid w:val="00472667"/>
    <w:rsid w:val="00473933"/>
    <w:rsid w:val="004748BE"/>
    <w:rsid w:val="00481A65"/>
    <w:rsid w:val="00482884"/>
    <w:rsid w:val="00485895"/>
    <w:rsid w:val="00485E5C"/>
    <w:rsid w:val="00490459"/>
    <w:rsid w:val="004945EC"/>
    <w:rsid w:val="004A30C6"/>
    <w:rsid w:val="004A352A"/>
    <w:rsid w:val="004B053A"/>
    <w:rsid w:val="004B233E"/>
    <w:rsid w:val="004B4012"/>
    <w:rsid w:val="004D4A66"/>
    <w:rsid w:val="004D610D"/>
    <w:rsid w:val="004D7537"/>
    <w:rsid w:val="004D7828"/>
    <w:rsid w:val="004E04B5"/>
    <w:rsid w:val="004E13D3"/>
    <w:rsid w:val="004E3BD8"/>
    <w:rsid w:val="004E71CA"/>
    <w:rsid w:val="00500445"/>
    <w:rsid w:val="005038DB"/>
    <w:rsid w:val="00510AD9"/>
    <w:rsid w:val="005224F1"/>
    <w:rsid w:val="00531E24"/>
    <w:rsid w:val="005367F9"/>
    <w:rsid w:val="00546DAC"/>
    <w:rsid w:val="00556553"/>
    <w:rsid w:val="0056318B"/>
    <w:rsid w:val="005657E3"/>
    <w:rsid w:val="0056607D"/>
    <w:rsid w:val="0057058B"/>
    <w:rsid w:val="005725BC"/>
    <w:rsid w:val="00575A58"/>
    <w:rsid w:val="00584BCA"/>
    <w:rsid w:val="005863EE"/>
    <w:rsid w:val="00586CF6"/>
    <w:rsid w:val="00586FCC"/>
    <w:rsid w:val="00595C80"/>
    <w:rsid w:val="005A0233"/>
    <w:rsid w:val="005A5163"/>
    <w:rsid w:val="005B25D0"/>
    <w:rsid w:val="005B3428"/>
    <w:rsid w:val="005B55D0"/>
    <w:rsid w:val="005C7804"/>
    <w:rsid w:val="005D23F8"/>
    <w:rsid w:val="005D5FA3"/>
    <w:rsid w:val="005E2105"/>
    <w:rsid w:val="005E21DD"/>
    <w:rsid w:val="005E7951"/>
    <w:rsid w:val="005F055F"/>
    <w:rsid w:val="005F14EA"/>
    <w:rsid w:val="005F172B"/>
    <w:rsid w:val="005F7280"/>
    <w:rsid w:val="00603175"/>
    <w:rsid w:val="00610A46"/>
    <w:rsid w:val="0061148E"/>
    <w:rsid w:val="00615394"/>
    <w:rsid w:val="00616762"/>
    <w:rsid w:val="00616CB7"/>
    <w:rsid w:val="00623D26"/>
    <w:rsid w:val="0062439C"/>
    <w:rsid w:val="00624E27"/>
    <w:rsid w:val="00633F25"/>
    <w:rsid w:val="00645055"/>
    <w:rsid w:val="00651A75"/>
    <w:rsid w:val="00651F10"/>
    <w:rsid w:val="00652A12"/>
    <w:rsid w:val="00654634"/>
    <w:rsid w:val="00656D68"/>
    <w:rsid w:val="0066522C"/>
    <w:rsid w:val="006678E6"/>
    <w:rsid w:val="00670D92"/>
    <w:rsid w:val="00672AA4"/>
    <w:rsid w:val="006732F8"/>
    <w:rsid w:val="006742A9"/>
    <w:rsid w:val="0069393D"/>
    <w:rsid w:val="006944DC"/>
    <w:rsid w:val="00696FA4"/>
    <w:rsid w:val="006A3FD8"/>
    <w:rsid w:val="006B06AF"/>
    <w:rsid w:val="006B1770"/>
    <w:rsid w:val="006B199A"/>
    <w:rsid w:val="006B1EDC"/>
    <w:rsid w:val="006C3348"/>
    <w:rsid w:val="006C7F26"/>
    <w:rsid w:val="006D4F00"/>
    <w:rsid w:val="006D4F51"/>
    <w:rsid w:val="006E1766"/>
    <w:rsid w:val="006E653E"/>
    <w:rsid w:val="006E7291"/>
    <w:rsid w:val="006F6EDD"/>
    <w:rsid w:val="00702775"/>
    <w:rsid w:val="00703C6F"/>
    <w:rsid w:val="00704936"/>
    <w:rsid w:val="00707F70"/>
    <w:rsid w:val="00710821"/>
    <w:rsid w:val="007109CC"/>
    <w:rsid w:val="00713E69"/>
    <w:rsid w:val="00723A4C"/>
    <w:rsid w:val="00724576"/>
    <w:rsid w:val="007304E8"/>
    <w:rsid w:val="00734FAC"/>
    <w:rsid w:val="0073619D"/>
    <w:rsid w:val="00736A11"/>
    <w:rsid w:val="00736BBE"/>
    <w:rsid w:val="00751FF1"/>
    <w:rsid w:val="00755ED9"/>
    <w:rsid w:val="00760FC3"/>
    <w:rsid w:val="00761F30"/>
    <w:rsid w:val="007636C9"/>
    <w:rsid w:val="00770CEB"/>
    <w:rsid w:val="00774AEF"/>
    <w:rsid w:val="00776064"/>
    <w:rsid w:val="00786EBE"/>
    <w:rsid w:val="007901C3"/>
    <w:rsid w:val="0079527F"/>
    <w:rsid w:val="00795ACA"/>
    <w:rsid w:val="007A4AFD"/>
    <w:rsid w:val="007B0DB4"/>
    <w:rsid w:val="007B123D"/>
    <w:rsid w:val="007B3F58"/>
    <w:rsid w:val="007B6195"/>
    <w:rsid w:val="007C0605"/>
    <w:rsid w:val="007C3212"/>
    <w:rsid w:val="007D40FC"/>
    <w:rsid w:val="007D7DD6"/>
    <w:rsid w:val="007E30AF"/>
    <w:rsid w:val="007E678E"/>
    <w:rsid w:val="007E6D78"/>
    <w:rsid w:val="007F0873"/>
    <w:rsid w:val="007F426E"/>
    <w:rsid w:val="007F7C14"/>
    <w:rsid w:val="008018C1"/>
    <w:rsid w:val="00802037"/>
    <w:rsid w:val="00803586"/>
    <w:rsid w:val="008037F2"/>
    <w:rsid w:val="0080689D"/>
    <w:rsid w:val="00813008"/>
    <w:rsid w:val="008222DE"/>
    <w:rsid w:val="00824539"/>
    <w:rsid w:val="0083363D"/>
    <w:rsid w:val="008353FF"/>
    <w:rsid w:val="00836C19"/>
    <w:rsid w:val="00843E19"/>
    <w:rsid w:val="00845CA7"/>
    <w:rsid w:val="00862657"/>
    <w:rsid w:val="008629A0"/>
    <w:rsid w:val="008659B8"/>
    <w:rsid w:val="00872A42"/>
    <w:rsid w:val="00874CEE"/>
    <w:rsid w:val="008763B1"/>
    <w:rsid w:val="00892B86"/>
    <w:rsid w:val="0089591A"/>
    <w:rsid w:val="008A02BC"/>
    <w:rsid w:val="008C0B26"/>
    <w:rsid w:val="008C13B3"/>
    <w:rsid w:val="008C70D1"/>
    <w:rsid w:val="008E19A2"/>
    <w:rsid w:val="008E39BA"/>
    <w:rsid w:val="008E60FD"/>
    <w:rsid w:val="008E7324"/>
    <w:rsid w:val="008F12C9"/>
    <w:rsid w:val="008F7842"/>
    <w:rsid w:val="009015F4"/>
    <w:rsid w:val="00901E04"/>
    <w:rsid w:val="009047F1"/>
    <w:rsid w:val="00906CD2"/>
    <w:rsid w:val="009130E0"/>
    <w:rsid w:val="00926C69"/>
    <w:rsid w:val="009278EB"/>
    <w:rsid w:val="00930A38"/>
    <w:rsid w:val="00931CD1"/>
    <w:rsid w:val="00936632"/>
    <w:rsid w:val="009417EB"/>
    <w:rsid w:val="00951761"/>
    <w:rsid w:val="00956FB6"/>
    <w:rsid w:val="00957DD3"/>
    <w:rsid w:val="009600F7"/>
    <w:rsid w:val="00964AE6"/>
    <w:rsid w:val="00965757"/>
    <w:rsid w:val="00965D64"/>
    <w:rsid w:val="0097279F"/>
    <w:rsid w:val="00973C46"/>
    <w:rsid w:val="009744D5"/>
    <w:rsid w:val="00974756"/>
    <w:rsid w:val="00976196"/>
    <w:rsid w:val="00977FC9"/>
    <w:rsid w:val="0098422C"/>
    <w:rsid w:val="0098533D"/>
    <w:rsid w:val="00991A55"/>
    <w:rsid w:val="00995523"/>
    <w:rsid w:val="00997231"/>
    <w:rsid w:val="00997A04"/>
    <w:rsid w:val="009A2E6F"/>
    <w:rsid w:val="009A5515"/>
    <w:rsid w:val="009B1FAA"/>
    <w:rsid w:val="009B2559"/>
    <w:rsid w:val="009B4F6D"/>
    <w:rsid w:val="009B77DA"/>
    <w:rsid w:val="009C3649"/>
    <w:rsid w:val="009D35F5"/>
    <w:rsid w:val="009E2C6B"/>
    <w:rsid w:val="009E59FE"/>
    <w:rsid w:val="009F4441"/>
    <w:rsid w:val="00A03F10"/>
    <w:rsid w:val="00A131D8"/>
    <w:rsid w:val="00A158C1"/>
    <w:rsid w:val="00A17B36"/>
    <w:rsid w:val="00A20577"/>
    <w:rsid w:val="00A22EE3"/>
    <w:rsid w:val="00A23210"/>
    <w:rsid w:val="00A2330C"/>
    <w:rsid w:val="00A241AA"/>
    <w:rsid w:val="00A26E51"/>
    <w:rsid w:val="00A34A5F"/>
    <w:rsid w:val="00A3606A"/>
    <w:rsid w:val="00A37F91"/>
    <w:rsid w:val="00A40294"/>
    <w:rsid w:val="00A42749"/>
    <w:rsid w:val="00A450A2"/>
    <w:rsid w:val="00A45DA9"/>
    <w:rsid w:val="00A5456F"/>
    <w:rsid w:val="00A626F3"/>
    <w:rsid w:val="00A62873"/>
    <w:rsid w:val="00A66D59"/>
    <w:rsid w:val="00A66E5C"/>
    <w:rsid w:val="00A73E27"/>
    <w:rsid w:val="00A82C57"/>
    <w:rsid w:val="00A867CF"/>
    <w:rsid w:val="00A8740D"/>
    <w:rsid w:val="00A87EFF"/>
    <w:rsid w:val="00A93C71"/>
    <w:rsid w:val="00AA202D"/>
    <w:rsid w:val="00AA5B27"/>
    <w:rsid w:val="00AB1655"/>
    <w:rsid w:val="00AB6869"/>
    <w:rsid w:val="00AC1F92"/>
    <w:rsid w:val="00AD2825"/>
    <w:rsid w:val="00AD31AB"/>
    <w:rsid w:val="00AD7D44"/>
    <w:rsid w:val="00AE5AB2"/>
    <w:rsid w:val="00AE7736"/>
    <w:rsid w:val="00AF5C8D"/>
    <w:rsid w:val="00AF7847"/>
    <w:rsid w:val="00B01F2E"/>
    <w:rsid w:val="00B06870"/>
    <w:rsid w:val="00B10713"/>
    <w:rsid w:val="00B161CB"/>
    <w:rsid w:val="00B166A8"/>
    <w:rsid w:val="00B258F8"/>
    <w:rsid w:val="00B31043"/>
    <w:rsid w:val="00B331C5"/>
    <w:rsid w:val="00B33B8E"/>
    <w:rsid w:val="00B43C45"/>
    <w:rsid w:val="00B447BF"/>
    <w:rsid w:val="00B4756D"/>
    <w:rsid w:val="00B502A0"/>
    <w:rsid w:val="00B6205F"/>
    <w:rsid w:val="00B64F01"/>
    <w:rsid w:val="00B66010"/>
    <w:rsid w:val="00B70850"/>
    <w:rsid w:val="00B70FC2"/>
    <w:rsid w:val="00B837CC"/>
    <w:rsid w:val="00B85820"/>
    <w:rsid w:val="00B86D31"/>
    <w:rsid w:val="00B90448"/>
    <w:rsid w:val="00B925EE"/>
    <w:rsid w:val="00B97B61"/>
    <w:rsid w:val="00BA25F4"/>
    <w:rsid w:val="00BA4CD6"/>
    <w:rsid w:val="00BA5F0E"/>
    <w:rsid w:val="00BA66CC"/>
    <w:rsid w:val="00BA7584"/>
    <w:rsid w:val="00BA7C3F"/>
    <w:rsid w:val="00BB0A81"/>
    <w:rsid w:val="00BB3B03"/>
    <w:rsid w:val="00BB5291"/>
    <w:rsid w:val="00BC7731"/>
    <w:rsid w:val="00BD18A2"/>
    <w:rsid w:val="00BD1BE2"/>
    <w:rsid w:val="00BD453E"/>
    <w:rsid w:val="00BE540A"/>
    <w:rsid w:val="00BE592C"/>
    <w:rsid w:val="00BE619E"/>
    <w:rsid w:val="00BF07F4"/>
    <w:rsid w:val="00BF47C4"/>
    <w:rsid w:val="00C03F41"/>
    <w:rsid w:val="00C047BA"/>
    <w:rsid w:val="00C07F9F"/>
    <w:rsid w:val="00C11005"/>
    <w:rsid w:val="00C11355"/>
    <w:rsid w:val="00C21758"/>
    <w:rsid w:val="00C315F6"/>
    <w:rsid w:val="00C33226"/>
    <w:rsid w:val="00C34420"/>
    <w:rsid w:val="00C377F6"/>
    <w:rsid w:val="00C43364"/>
    <w:rsid w:val="00C52D7B"/>
    <w:rsid w:val="00C7229B"/>
    <w:rsid w:val="00C757C5"/>
    <w:rsid w:val="00C82B29"/>
    <w:rsid w:val="00C945BF"/>
    <w:rsid w:val="00C965DF"/>
    <w:rsid w:val="00CA1DAF"/>
    <w:rsid w:val="00CA40CB"/>
    <w:rsid w:val="00CA62B3"/>
    <w:rsid w:val="00CA69DF"/>
    <w:rsid w:val="00CB2AD9"/>
    <w:rsid w:val="00CB35C2"/>
    <w:rsid w:val="00CB7144"/>
    <w:rsid w:val="00CC544D"/>
    <w:rsid w:val="00CD0E8B"/>
    <w:rsid w:val="00CD1968"/>
    <w:rsid w:val="00CD29F8"/>
    <w:rsid w:val="00CD3D4F"/>
    <w:rsid w:val="00CD442B"/>
    <w:rsid w:val="00CD77DF"/>
    <w:rsid w:val="00CF190B"/>
    <w:rsid w:val="00CF5F0F"/>
    <w:rsid w:val="00CF7159"/>
    <w:rsid w:val="00D00044"/>
    <w:rsid w:val="00D01A39"/>
    <w:rsid w:val="00D06DC5"/>
    <w:rsid w:val="00D1101D"/>
    <w:rsid w:val="00D15C72"/>
    <w:rsid w:val="00D20916"/>
    <w:rsid w:val="00D220D8"/>
    <w:rsid w:val="00D226E8"/>
    <w:rsid w:val="00D22A98"/>
    <w:rsid w:val="00D31C7D"/>
    <w:rsid w:val="00D46DD7"/>
    <w:rsid w:val="00D53032"/>
    <w:rsid w:val="00D54858"/>
    <w:rsid w:val="00D607F5"/>
    <w:rsid w:val="00D6612A"/>
    <w:rsid w:val="00DA1E2B"/>
    <w:rsid w:val="00DA3333"/>
    <w:rsid w:val="00DA4293"/>
    <w:rsid w:val="00DA7265"/>
    <w:rsid w:val="00DB076D"/>
    <w:rsid w:val="00DB2DDD"/>
    <w:rsid w:val="00DB6E16"/>
    <w:rsid w:val="00DC6CEF"/>
    <w:rsid w:val="00DD2ADB"/>
    <w:rsid w:val="00DD7EF2"/>
    <w:rsid w:val="00DE362C"/>
    <w:rsid w:val="00DE421C"/>
    <w:rsid w:val="00DF14E2"/>
    <w:rsid w:val="00E12D19"/>
    <w:rsid w:val="00E14A16"/>
    <w:rsid w:val="00E14FD4"/>
    <w:rsid w:val="00E16173"/>
    <w:rsid w:val="00E21282"/>
    <w:rsid w:val="00E21BFD"/>
    <w:rsid w:val="00E22956"/>
    <w:rsid w:val="00E25DE0"/>
    <w:rsid w:val="00E31689"/>
    <w:rsid w:val="00E329AC"/>
    <w:rsid w:val="00E330CC"/>
    <w:rsid w:val="00E4091C"/>
    <w:rsid w:val="00E417DC"/>
    <w:rsid w:val="00E421A2"/>
    <w:rsid w:val="00E427F5"/>
    <w:rsid w:val="00E46D27"/>
    <w:rsid w:val="00E63FB7"/>
    <w:rsid w:val="00E649A0"/>
    <w:rsid w:val="00E67263"/>
    <w:rsid w:val="00E705D0"/>
    <w:rsid w:val="00E72E9F"/>
    <w:rsid w:val="00E762A2"/>
    <w:rsid w:val="00E92081"/>
    <w:rsid w:val="00E9413D"/>
    <w:rsid w:val="00E97044"/>
    <w:rsid w:val="00EA0CBE"/>
    <w:rsid w:val="00EA141D"/>
    <w:rsid w:val="00EA26CB"/>
    <w:rsid w:val="00EA6340"/>
    <w:rsid w:val="00EA64CC"/>
    <w:rsid w:val="00EC443A"/>
    <w:rsid w:val="00ED3D56"/>
    <w:rsid w:val="00EE0AE9"/>
    <w:rsid w:val="00EE31F7"/>
    <w:rsid w:val="00EE68CF"/>
    <w:rsid w:val="00EF1837"/>
    <w:rsid w:val="00EF4DE0"/>
    <w:rsid w:val="00EF5734"/>
    <w:rsid w:val="00F02F52"/>
    <w:rsid w:val="00F03D7A"/>
    <w:rsid w:val="00F049CB"/>
    <w:rsid w:val="00F10AA6"/>
    <w:rsid w:val="00F12BF8"/>
    <w:rsid w:val="00F1386D"/>
    <w:rsid w:val="00F20F2F"/>
    <w:rsid w:val="00F2126B"/>
    <w:rsid w:val="00F24D1E"/>
    <w:rsid w:val="00F32BC3"/>
    <w:rsid w:val="00F35A32"/>
    <w:rsid w:val="00F376CE"/>
    <w:rsid w:val="00F40E10"/>
    <w:rsid w:val="00F458A0"/>
    <w:rsid w:val="00F60D65"/>
    <w:rsid w:val="00F63651"/>
    <w:rsid w:val="00F63817"/>
    <w:rsid w:val="00F6410C"/>
    <w:rsid w:val="00F654B4"/>
    <w:rsid w:val="00F80EF9"/>
    <w:rsid w:val="00F81AB5"/>
    <w:rsid w:val="00F90960"/>
    <w:rsid w:val="00F90F1C"/>
    <w:rsid w:val="00F94A32"/>
    <w:rsid w:val="00F94C7E"/>
    <w:rsid w:val="00FA1E54"/>
    <w:rsid w:val="00FA4858"/>
    <w:rsid w:val="00FB0F8F"/>
    <w:rsid w:val="00FB1597"/>
    <w:rsid w:val="00FB6D50"/>
    <w:rsid w:val="00FB7DE2"/>
    <w:rsid w:val="00FD0B8A"/>
    <w:rsid w:val="00FD1273"/>
    <w:rsid w:val="00FD3B36"/>
    <w:rsid w:val="00FE4B02"/>
    <w:rsid w:val="00FE4D13"/>
    <w:rsid w:val="00FE6335"/>
    <w:rsid w:val="00FE7EB0"/>
    <w:rsid w:val="00FF04FD"/>
    <w:rsid w:val="00FF7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1DF"/>
    <w:rPr>
      <w:sz w:val="24"/>
      <w:szCs w:val="24"/>
    </w:rPr>
  </w:style>
  <w:style w:type="paragraph" w:styleId="Heading3">
    <w:name w:val="heading 3"/>
    <w:basedOn w:val="Normal"/>
    <w:link w:val="Heading3Char"/>
    <w:qFormat/>
    <w:rsid w:val="00E649A0"/>
    <w:pPr>
      <w:spacing w:before="100" w:beforeAutospacing="1" w:after="100" w:afterAutospacing="1"/>
      <w:outlineLvl w:val="2"/>
    </w:pPr>
    <w:rPr>
      <w:rFonts w:ascii="Verdana" w:hAnsi="Verdana"/>
      <w:b/>
      <w:bCs/>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gendaAOC">
    <w:name w:val="AgendaAOC"/>
    <w:rsid w:val="007E30AF"/>
    <w:pPr>
      <w:numPr>
        <w:numId w:val="2"/>
      </w:numPr>
    </w:pPr>
  </w:style>
  <w:style w:type="paragraph" w:styleId="ListParagraph">
    <w:name w:val="List Paragraph"/>
    <w:basedOn w:val="Normal"/>
    <w:uiPriority w:val="34"/>
    <w:qFormat/>
    <w:rsid w:val="006678E6"/>
    <w:pPr>
      <w:ind w:left="720"/>
    </w:pPr>
  </w:style>
  <w:style w:type="paragraph" w:styleId="Header">
    <w:name w:val="header"/>
    <w:basedOn w:val="Normal"/>
    <w:link w:val="HeaderChar"/>
    <w:rsid w:val="00316CEA"/>
    <w:pPr>
      <w:tabs>
        <w:tab w:val="center" w:pos="4680"/>
        <w:tab w:val="right" w:pos="9360"/>
      </w:tabs>
    </w:pPr>
  </w:style>
  <w:style w:type="character" w:customStyle="1" w:styleId="HeaderChar">
    <w:name w:val="Header Char"/>
    <w:basedOn w:val="DefaultParagraphFont"/>
    <w:link w:val="Header"/>
    <w:rsid w:val="00316CEA"/>
    <w:rPr>
      <w:sz w:val="24"/>
      <w:szCs w:val="24"/>
    </w:rPr>
  </w:style>
  <w:style w:type="paragraph" w:styleId="Footer">
    <w:name w:val="footer"/>
    <w:basedOn w:val="Normal"/>
    <w:link w:val="FooterChar"/>
    <w:rsid w:val="00316CEA"/>
    <w:pPr>
      <w:tabs>
        <w:tab w:val="center" w:pos="4680"/>
        <w:tab w:val="right" w:pos="9360"/>
      </w:tabs>
    </w:pPr>
  </w:style>
  <w:style w:type="character" w:customStyle="1" w:styleId="FooterChar">
    <w:name w:val="Footer Char"/>
    <w:basedOn w:val="DefaultParagraphFont"/>
    <w:link w:val="Footer"/>
    <w:uiPriority w:val="99"/>
    <w:rsid w:val="00316CEA"/>
    <w:rPr>
      <w:sz w:val="24"/>
      <w:szCs w:val="24"/>
    </w:rPr>
  </w:style>
  <w:style w:type="paragraph" w:styleId="BalloonText">
    <w:name w:val="Balloon Text"/>
    <w:basedOn w:val="Normal"/>
    <w:link w:val="BalloonTextChar"/>
    <w:rsid w:val="004E13D3"/>
    <w:rPr>
      <w:rFonts w:ascii="Tahoma" w:hAnsi="Tahoma" w:cs="Tahoma"/>
      <w:sz w:val="16"/>
      <w:szCs w:val="16"/>
    </w:rPr>
  </w:style>
  <w:style w:type="character" w:customStyle="1" w:styleId="BalloonTextChar">
    <w:name w:val="Balloon Text Char"/>
    <w:basedOn w:val="DefaultParagraphFont"/>
    <w:link w:val="BalloonText"/>
    <w:rsid w:val="004E13D3"/>
    <w:rPr>
      <w:rFonts w:ascii="Tahoma" w:hAnsi="Tahoma" w:cs="Tahoma"/>
      <w:sz w:val="16"/>
      <w:szCs w:val="16"/>
    </w:rPr>
  </w:style>
  <w:style w:type="character" w:customStyle="1" w:styleId="Heading3Char">
    <w:name w:val="Heading 3 Char"/>
    <w:basedOn w:val="DefaultParagraphFont"/>
    <w:link w:val="Heading3"/>
    <w:rsid w:val="00E649A0"/>
    <w:rPr>
      <w:rFonts w:ascii="Verdana" w:hAnsi="Verdana"/>
      <w:b/>
      <w:bCs/>
      <w:color w:val="333333"/>
      <w:sz w:val="27"/>
      <w:szCs w:val="27"/>
    </w:rPr>
  </w:style>
  <w:style w:type="paragraph" w:styleId="NormalWeb">
    <w:name w:val="Normal (Web)"/>
    <w:basedOn w:val="Normal"/>
    <w:rsid w:val="00E649A0"/>
    <w:pPr>
      <w:spacing w:after="240"/>
      <w:ind w:right="75"/>
    </w:pPr>
    <w:rPr>
      <w:rFonts w:ascii="Verdana" w:hAnsi="Verdana"/>
      <w:color w:val="000000"/>
      <w:sz w:val="17"/>
      <w:szCs w:val="17"/>
    </w:rPr>
  </w:style>
  <w:style w:type="character" w:styleId="PageNumber">
    <w:name w:val="page number"/>
    <w:basedOn w:val="DefaultParagraphFont"/>
    <w:rsid w:val="00E649A0"/>
  </w:style>
  <w:style w:type="character" w:styleId="CommentReference">
    <w:name w:val="annotation reference"/>
    <w:basedOn w:val="DefaultParagraphFont"/>
    <w:rsid w:val="008E39BA"/>
    <w:rPr>
      <w:sz w:val="16"/>
      <w:szCs w:val="16"/>
    </w:rPr>
  </w:style>
  <w:style w:type="paragraph" w:styleId="CommentText">
    <w:name w:val="annotation text"/>
    <w:basedOn w:val="Normal"/>
    <w:link w:val="CommentTextChar"/>
    <w:rsid w:val="008E39BA"/>
    <w:rPr>
      <w:sz w:val="20"/>
      <w:szCs w:val="20"/>
    </w:rPr>
  </w:style>
  <w:style w:type="character" w:customStyle="1" w:styleId="CommentTextChar">
    <w:name w:val="Comment Text Char"/>
    <w:basedOn w:val="DefaultParagraphFont"/>
    <w:link w:val="CommentText"/>
    <w:rsid w:val="008E39BA"/>
  </w:style>
  <w:style w:type="paragraph" w:styleId="CommentSubject">
    <w:name w:val="annotation subject"/>
    <w:basedOn w:val="CommentText"/>
    <w:next w:val="CommentText"/>
    <w:link w:val="CommentSubjectChar"/>
    <w:rsid w:val="008E39BA"/>
    <w:rPr>
      <w:b/>
      <w:bCs/>
    </w:rPr>
  </w:style>
  <w:style w:type="character" w:customStyle="1" w:styleId="CommentSubjectChar">
    <w:name w:val="Comment Subject Char"/>
    <w:basedOn w:val="CommentTextChar"/>
    <w:link w:val="CommentSubject"/>
    <w:rsid w:val="008E39BA"/>
    <w:rPr>
      <w:b/>
      <w:bCs/>
    </w:rPr>
  </w:style>
  <w:style w:type="paragraph" w:styleId="Revision">
    <w:name w:val="Revision"/>
    <w:hidden/>
    <w:uiPriority w:val="99"/>
    <w:semiHidden/>
    <w:rsid w:val="009417E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2227</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AGENDA ]  NEED TRADITIONAL HEADING…PULL FROM LAST</vt:lpstr>
    </vt:vector>
  </TitlesOfParts>
  <Company>State of Georgia</Company>
  <LinksUpToDate>false</LinksUpToDate>
  <CharactersWithSpaces>13717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NEED TRADITIONAL HEADING…PULL FROM LAST</dc:title>
  <dc:creator>AOC</dc:creator>
  <cp:lastModifiedBy>radwinj</cp:lastModifiedBy>
  <cp:revision>2</cp:revision>
  <cp:lastPrinted>2010-01-13T21:13:00Z</cp:lastPrinted>
  <dcterms:created xsi:type="dcterms:W3CDTF">2010-12-15T20:58:00Z</dcterms:created>
  <dcterms:modified xsi:type="dcterms:W3CDTF">2010-12-15T20:58:00Z</dcterms:modified>
</cp:coreProperties>
</file>